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3677" w14:textId="77777777" w:rsidR="003D7132" w:rsidRPr="000F1A55" w:rsidRDefault="00401D90" w:rsidP="000F1A55">
      <w:pPr>
        <w:pStyle w:val="Heading1"/>
      </w:pPr>
      <w:r w:rsidRPr="000F1A55">
        <w:t>General Air Emission License</w:t>
      </w:r>
      <w:r w:rsidR="005112F1" w:rsidRPr="000F1A55">
        <w:t xml:space="preserve"> </w:t>
      </w:r>
      <w:r w:rsidRPr="000F1A55">
        <w:t>Information</w:t>
      </w:r>
    </w:p>
    <w:p w14:paraId="1A4953E4" w14:textId="77777777" w:rsidR="006124BA" w:rsidRDefault="006124BA" w:rsidP="00401D90">
      <w:pPr>
        <w:jc w:val="center"/>
      </w:pPr>
    </w:p>
    <w:p w14:paraId="0A241172" w14:textId="77777777" w:rsidR="00401D90" w:rsidRDefault="00401D90" w:rsidP="00401D90">
      <w:pPr>
        <w:jc w:val="center"/>
      </w:pPr>
      <w:r>
        <w:t>State of Maine</w:t>
      </w:r>
    </w:p>
    <w:p w14:paraId="24BDFE0F" w14:textId="77777777" w:rsidR="00401D90" w:rsidRDefault="00401D90" w:rsidP="00401D90">
      <w:pPr>
        <w:jc w:val="center"/>
      </w:pPr>
      <w:r>
        <w:t>Department of Environmental Protection</w:t>
      </w:r>
    </w:p>
    <w:p w14:paraId="27C84F68" w14:textId="77777777" w:rsidR="00401D90" w:rsidRDefault="00401D90" w:rsidP="00401D90">
      <w:pPr>
        <w:jc w:val="center"/>
      </w:pPr>
      <w:r>
        <w:t>Bureau of Air Quality</w:t>
      </w:r>
    </w:p>
    <w:p w14:paraId="4A9B06F9" w14:textId="77777777" w:rsidR="00401D90" w:rsidRDefault="00401D90" w:rsidP="00401D90">
      <w:pPr>
        <w:jc w:val="both"/>
      </w:pPr>
    </w:p>
    <w:p w14:paraId="38674F28" w14:textId="759D31C4" w:rsidR="00401D90" w:rsidRPr="000F1A55" w:rsidRDefault="00401D90" w:rsidP="000F1A55">
      <w:pPr>
        <w:pStyle w:val="Heading2"/>
      </w:pPr>
      <w:r w:rsidRPr="000F1A55">
        <w:t>What is the purpose of an air emission license?</w:t>
      </w:r>
    </w:p>
    <w:p w14:paraId="6E547D0E" w14:textId="77777777" w:rsidR="00401D90" w:rsidRDefault="00401D90" w:rsidP="00401D90">
      <w:pPr>
        <w:tabs>
          <w:tab w:val="left" w:pos="360"/>
          <w:tab w:val="left" w:pos="720"/>
          <w:tab w:val="left" w:pos="1080"/>
          <w:tab w:val="left" w:pos="1440"/>
          <w:tab w:val="left" w:pos="1800"/>
          <w:tab w:val="left" w:pos="2160"/>
          <w:tab w:val="left" w:pos="2520"/>
          <w:tab w:val="left" w:pos="2880"/>
          <w:tab w:val="left" w:pos="3240"/>
          <w:tab w:val="left" w:pos="3600"/>
        </w:tabs>
        <w:jc w:val="both"/>
      </w:pPr>
    </w:p>
    <w:p w14:paraId="3A4E85E3" w14:textId="77777777" w:rsidR="00401D90" w:rsidRDefault="00401D90" w:rsidP="00401D90">
      <w:pPr>
        <w:tabs>
          <w:tab w:val="left" w:pos="360"/>
          <w:tab w:val="left" w:pos="720"/>
          <w:tab w:val="left" w:pos="1080"/>
          <w:tab w:val="left" w:pos="1440"/>
          <w:tab w:val="left" w:pos="1800"/>
          <w:tab w:val="left" w:pos="2160"/>
          <w:tab w:val="left" w:pos="2520"/>
          <w:tab w:val="left" w:pos="2880"/>
          <w:tab w:val="left" w:pos="3240"/>
          <w:tab w:val="left" w:pos="3600"/>
        </w:tabs>
        <w:ind w:left="360"/>
        <w:jc w:val="both"/>
      </w:pPr>
      <w:r>
        <w:t>The purpose of an air emission license is to compile all</w:t>
      </w:r>
      <w:r w:rsidR="00BF5F04">
        <w:t xml:space="preserve"> applicable air quality related requirements from state and federal regulations</w:t>
      </w:r>
      <w:r>
        <w:t xml:space="preserve"> for a facility in</w:t>
      </w:r>
      <w:r w:rsidR="00BF5F04">
        <w:t>to</w:t>
      </w:r>
      <w:r>
        <w:t xml:space="preserve"> one document.</w:t>
      </w:r>
    </w:p>
    <w:p w14:paraId="71731C6B" w14:textId="77777777" w:rsidR="00401D90" w:rsidRDefault="00401D90" w:rsidP="00401D90">
      <w:pPr>
        <w:tabs>
          <w:tab w:val="left" w:pos="360"/>
          <w:tab w:val="left" w:pos="720"/>
          <w:tab w:val="left" w:pos="1080"/>
          <w:tab w:val="left" w:pos="1440"/>
          <w:tab w:val="left" w:pos="1800"/>
          <w:tab w:val="left" w:pos="2160"/>
          <w:tab w:val="left" w:pos="2520"/>
          <w:tab w:val="left" w:pos="2880"/>
          <w:tab w:val="left" w:pos="3240"/>
          <w:tab w:val="left" w:pos="3600"/>
        </w:tabs>
        <w:ind w:left="360"/>
        <w:jc w:val="both"/>
      </w:pPr>
    </w:p>
    <w:p w14:paraId="68163599" w14:textId="77777777" w:rsidR="00401D90" w:rsidRDefault="00401D90" w:rsidP="00401D90">
      <w:pPr>
        <w:tabs>
          <w:tab w:val="left" w:pos="360"/>
          <w:tab w:val="left" w:pos="720"/>
          <w:tab w:val="left" w:pos="1080"/>
          <w:tab w:val="left" w:pos="1440"/>
          <w:tab w:val="left" w:pos="1800"/>
          <w:tab w:val="left" w:pos="2160"/>
          <w:tab w:val="left" w:pos="2520"/>
          <w:tab w:val="left" w:pos="2880"/>
          <w:tab w:val="left" w:pos="3240"/>
          <w:tab w:val="left" w:pos="3600"/>
        </w:tabs>
        <w:ind w:left="360"/>
        <w:jc w:val="both"/>
      </w:pPr>
      <w:r>
        <w:t xml:space="preserve">Maine has had </w:t>
      </w:r>
      <w:r w:rsidR="004F09BF">
        <w:t>a</w:t>
      </w:r>
      <w:r>
        <w:t xml:space="preserve"> licensing program</w:t>
      </w:r>
      <w:r w:rsidR="004F09BF">
        <w:t xml:space="preserve"> </w:t>
      </w:r>
      <w:r>
        <w:t>in place since the early 1970s</w:t>
      </w:r>
      <w:r w:rsidR="00A37F0C" w:rsidRPr="00A37F0C">
        <w:t xml:space="preserve"> </w:t>
      </w:r>
      <w:r w:rsidR="00A37F0C">
        <w:t>for air emissions from both minor and major sources</w:t>
      </w:r>
      <w:r>
        <w:t xml:space="preserve">. In the Clean Air Act Amendments of 1990, licensing was mandated for major sources. Maine has been given </w:t>
      </w:r>
      <w:r w:rsidR="004F09BF">
        <w:t xml:space="preserve">delegated </w:t>
      </w:r>
      <w:r>
        <w:t xml:space="preserve">authority over this program </w:t>
      </w:r>
      <w:r w:rsidR="004F09BF">
        <w:t xml:space="preserve">pursuant to </w:t>
      </w:r>
      <w:r>
        <w:t>38</w:t>
      </w:r>
      <w:r w:rsidR="004F09BF">
        <w:t> </w:t>
      </w:r>
      <w:r>
        <w:t>M.R.S. Section</w:t>
      </w:r>
      <w:r w:rsidR="00A37F0C">
        <w:t>s</w:t>
      </w:r>
      <w:r>
        <w:t xml:space="preserve"> 344 and 590.</w:t>
      </w:r>
    </w:p>
    <w:p w14:paraId="37130AD2" w14:textId="77777777" w:rsidR="00401D90" w:rsidRDefault="00401D90" w:rsidP="00401D90">
      <w:pPr>
        <w:ind w:left="360"/>
        <w:jc w:val="both"/>
      </w:pPr>
    </w:p>
    <w:p w14:paraId="7092E4C4" w14:textId="77777777" w:rsidR="00401D90" w:rsidRDefault="00401D90" w:rsidP="000F1A55">
      <w:pPr>
        <w:pStyle w:val="Heading2"/>
      </w:pPr>
      <w:r w:rsidRPr="00401D90">
        <w:t>Who must apply?</w:t>
      </w:r>
    </w:p>
    <w:p w14:paraId="4E5F222C" w14:textId="77777777" w:rsidR="00401D90" w:rsidRDefault="00401D90" w:rsidP="00401D90">
      <w:pPr>
        <w:ind w:left="360"/>
        <w:jc w:val="both"/>
        <w:rPr>
          <w:b/>
        </w:rPr>
      </w:pPr>
    </w:p>
    <w:p w14:paraId="32AECC46" w14:textId="77777777" w:rsidR="00401D90" w:rsidRDefault="00401D90" w:rsidP="00401D90">
      <w:pPr>
        <w:ind w:left="360"/>
        <w:jc w:val="both"/>
      </w:pPr>
      <w:r>
        <w:t xml:space="preserve">Both </w:t>
      </w:r>
      <w:r w:rsidR="005D7638">
        <w:t>m</w:t>
      </w:r>
      <w:r>
        <w:t xml:space="preserve">inor and </w:t>
      </w:r>
      <w:r w:rsidR="005D7638">
        <w:t>m</w:t>
      </w:r>
      <w:r>
        <w:t>ajor sources must apply for air emission licenses.  Please refer to Maine Regulations Chapter 115 (licensing for minor sources</w:t>
      </w:r>
      <w:r w:rsidR="00BF5F04">
        <w:t xml:space="preserve"> and new source review for major sources</w:t>
      </w:r>
      <w:r>
        <w:t xml:space="preserve">) and Chapter 140 (licensing for major sources) for a detailed applicability determination. The summaries below are </w:t>
      </w:r>
      <w:r w:rsidR="00A37F0C">
        <w:t xml:space="preserve">general guidelines and </w:t>
      </w:r>
      <w:r>
        <w:t xml:space="preserve">not comprehensive </w:t>
      </w:r>
      <w:r w:rsidR="00A37F0C">
        <w:t xml:space="preserve">lists </w:t>
      </w:r>
      <w:r>
        <w:t xml:space="preserve">of what regulations </w:t>
      </w:r>
      <w:r w:rsidR="00A37F0C">
        <w:t xml:space="preserve">facilities </w:t>
      </w:r>
      <w:r>
        <w:t>may be subject to.</w:t>
      </w:r>
    </w:p>
    <w:p w14:paraId="76DF6E8C" w14:textId="77777777" w:rsidR="00401D90" w:rsidRDefault="00401D90" w:rsidP="00401D90">
      <w:pPr>
        <w:jc w:val="both"/>
      </w:pPr>
    </w:p>
    <w:p w14:paraId="74A0D7E2" w14:textId="77777777" w:rsidR="00401D90" w:rsidRPr="000F1A55" w:rsidRDefault="00401D90" w:rsidP="000F1A55">
      <w:pPr>
        <w:pStyle w:val="Heading3"/>
      </w:pPr>
      <w:r w:rsidRPr="000F1A55">
        <w:t>Under Chapter 115 – minor sources</w:t>
      </w:r>
    </w:p>
    <w:p w14:paraId="5986F003" w14:textId="77777777" w:rsidR="00401D90" w:rsidRDefault="00401D90" w:rsidP="00401D90">
      <w:pPr>
        <w:ind w:left="720"/>
        <w:jc w:val="both"/>
      </w:pPr>
    </w:p>
    <w:p w14:paraId="28B2871F" w14:textId="77777777" w:rsidR="00401D90" w:rsidRDefault="00401D90" w:rsidP="00401D90">
      <w:pPr>
        <w:ind w:left="720"/>
        <w:jc w:val="both"/>
      </w:pPr>
      <w:r>
        <w:t>In general, sources subject to</w:t>
      </w:r>
      <w:r w:rsidR="00BF5F04">
        <w:t xml:space="preserve"> minor source licensing under</w:t>
      </w:r>
      <w:r>
        <w:t xml:space="preserve"> Chapter 115 include facilities with the </w:t>
      </w:r>
      <w:r w:rsidR="005D7638">
        <w:t>p</w:t>
      </w:r>
      <w:r>
        <w:t xml:space="preserve">otential to </w:t>
      </w:r>
      <w:r w:rsidR="005D7638">
        <w:t>e</w:t>
      </w:r>
      <w:r>
        <w:t xml:space="preserve">mit </w:t>
      </w:r>
      <w:r w:rsidRPr="00401D90">
        <w:rPr>
          <w:u w:val="single"/>
        </w:rPr>
        <w:t>less</w:t>
      </w:r>
      <w:r>
        <w:t xml:space="preserve"> than the following:</w:t>
      </w:r>
    </w:p>
    <w:p w14:paraId="63F6768B" w14:textId="77777777" w:rsidR="00401D90" w:rsidRDefault="00401D90" w:rsidP="00401D90">
      <w:pPr>
        <w:ind w:left="720"/>
        <w:jc w:val="both"/>
      </w:pPr>
    </w:p>
    <w:p w14:paraId="012E9AE0" w14:textId="77777777" w:rsidR="00401D90" w:rsidRDefault="00401D90" w:rsidP="00401D90">
      <w:pPr>
        <w:numPr>
          <w:ilvl w:val="0"/>
          <w:numId w:val="38"/>
        </w:numPr>
        <w:jc w:val="both"/>
      </w:pPr>
      <w:r>
        <w:t xml:space="preserve">50 ton per year of </w:t>
      </w:r>
      <w:r w:rsidR="00A37F0C">
        <w:t>volatile organic compounds (</w:t>
      </w:r>
      <w:r>
        <w:t>VOC</w:t>
      </w:r>
      <w:r w:rsidR="00A37F0C">
        <w:t>)</w:t>
      </w:r>
      <w:r w:rsidR="004B10C7">
        <w:t xml:space="preserve"> for facilities located within the </w:t>
      </w:r>
      <w:hyperlink r:id="rId7" w:history="1">
        <w:r w:rsidR="004B10C7" w:rsidRPr="005D7638">
          <w:rPr>
            <w:rStyle w:val="Hyperlink"/>
          </w:rPr>
          <w:t>Ozone Transport Region</w:t>
        </w:r>
      </w:hyperlink>
    </w:p>
    <w:p w14:paraId="73F837D2" w14:textId="77777777" w:rsidR="00401D90" w:rsidRDefault="00401D90" w:rsidP="00401D90">
      <w:pPr>
        <w:numPr>
          <w:ilvl w:val="0"/>
          <w:numId w:val="38"/>
        </w:numPr>
        <w:jc w:val="both"/>
      </w:pPr>
      <w:r>
        <w:t xml:space="preserve">10 ton per year of a single </w:t>
      </w:r>
      <w:r w:rsidR="00A37F0C">
        <w:t>hazardous air pollutant (HAP)</w:t>
      </w:r>
    </w:p>
    <w:p w14:paraId="14827931" w14:textId="77777777" w:rsidR="00401D90" w:rsidRDefault="00401D90" w:rsidP="00401D90">
      <w:pPr>
        <w:numPr>
          <w:ilvl w:val="0"/>
          <w:numId w:val="38"/>
        </w:numPr>
        <w:jc w:val="both"/>
      </w:pPr>
      <w:r>
        <w:t>25 ton per year of all H</w:t>
      </w:r>
      <w:r w:rsidR="00A37F0C">
        <w:t xml:space="preserve">AP </w:t>
      </w:r>
      <w:r>
        <w:t>combined</w:t>
      </w:r>
    </w:p>
    <w:p w14:paraId="6C6FFC3A" w14:textId="77777777" w:rsidR="00401D90" w:rsidRDefault="00401D90" w:rsidP="00BF5F04">
      <w:pPr>
        <w:numPr>
          <w:ilvl w:val="0"/>
          <w:numId w:val="38"/>
        </w:numPr>
        <w:jc w:val="both"/>
      </w:pPr>
      <w:r>
        <w:t xml:space="preserve">100 ton per year of </w:t>
      </w:r>
      <w:r w:rsidR="004B10C7">
        <w:t>any other regulated pollutant</w:t>
      </w:r>
      <w:r w:rsidR="00A37F0C">
        <w:t xml:space="preserve"> (including VOC for facilities not located within the Ozone Transport Region)</w:t>
      </w:r>
    </w:p>
    <w:p w14:paraId="1F2C3C73" w14:textId="77777777" w:rsidR="00401D90" w:rsidRDefault="00401D90" w:rsidP="00401D90">
      <w:pPr>
        <w:ind w:left="720"/>
        <w:jc w:val="both"/>
      </w:pPr>
    </w:p>
    <w:p w14:paraId="7F17D985" w14:textId="77777777" w:rsidR="00401D90" w:rsidRDefault="00401D90" w:rsidP="00401D90">
      <w:pPr>
        <w:ind w:left="720"/>
        <w:jc w:val="both"/>
      </w:pPr>
      <w:r>
        <w:t>An air emission license is required for the following:</w:t>
      </w:r>
    </w:p>
    <w:p w14:paraId="5100CA09" w14:textId="77777777" w:rsidR="00401D90" w:rsidRPr="00401D90" w:rsidRDefault="00401D90" w:rsidP="00401D90">
      <w:pPr>
        <w:jc w:val="both"/>
      </w:pPr>
    </w:p>
    <w:p w14:paraId="2653ABE3" w14:textId="77777777" w:rsidR="00401D90" w:rsidRPr="00401D90" w:rsidRDefault="00401D90" w:rsidP="00401D90">
      <w:pPr>
        <w:pStyle w:val="RulesSub-Paragraph"/>
        <w:tabs>
          <w:tab w:val="clear" w:pos="360"/>
          <w:tab w:val="clear" w:pos="720"/>
          <w:tab w:val="clear" w:pos="1080"/>
          <w:tab w:val="clear" w:pos="1440"/>
          <w:tab w:val="clear" w:pos="1800"/>
          <w:tab w:val="clear" w:pos="2160"/>
        </w:tabs>
        <w:rPr>
          <w:sz w:val="24"/>
          <w:szCs w:val="24"/>
        </w:rPr>
      </w:pPr>
      <w:r w:rsidRPr="00401D90">
        <w:rPr>
          <w:sz w:val="24"/>
          <w:szCs w:val="24"/>
        </w:rPr>
        <w:t>(a)</w:t>
      </w:r>
      <w:r w:rsidRPr="00401D90">
        <w:rPr>
          <w:sz w:val="24"/>
          <w:szCs w:val="24"/>
        </w:rPr>
        <w:tab/>
        <w:t>Fuel-burning equipment (or combinations thereof) whose total maximum design heat input is equal to or greater than 10.0 million British Thermal Units per hour</w:t>
      </w:r>
      <w:r w:rsidR="00A37F0C">
        <w:rPr>
          <w:sz w:val="24"/>
          <w:szCs w:val="24"/>
        </w:rPr>
        <w:t xml:space="preserve"> (MMBtu/hr)</w:t>
      </w:r>
      <w:r w:rsidRPr="00401D90">
        <w:rPr>
          <w:sz w:val="24"/>
          <w:szCs w:val="24"/>
        </w:rPr>
        <w:t>. Fuel-burning equipment, excluding stationary internal combustion engines, less than 1.0 MMBtu/hr shall not be included in this threshold assessment</w:t>
      </w:r>
      <w:r w:rsidR="00A37F0C">
        <w:rPr>
          <w:sz w:val="24"/>
          <w:szCs w:val="24"/>
        </w:rPr>
        <w:t>,</w:t>
      </w:r>
      <w:r w:rsidRPr="00401D90">
        <w:rPr>
          <w:sz w:val="24"/>
          <w:szCs w:val="24"/>
        </w:rPr>
        <w:t xml:space="preserve"> </w:t>
      </w:r>
      <w:r w:rsidRPr="00401D90">
        <w:rPr>
          <w:sz w:val="24"/>
          <w:szCs w:val="24"/>
        </w:rPr>
        <w:lastRenderedPageBreak/>
        <w:t>and stationary internal combustion engine</w:t>
      </w:r>
      <w:r w:rsidR="00BF5F04">
        <w:rPr>
          <w:sz w:val="24"/>
          <w:szCs w:val="24"/>
        </w:rPr>
        <w:t>s</w:t>
      </w:r>
      <w:r w:rsidRPr="00401D90">
        <w:rPr>
          <w:sz w:val="24"/>
          <w:szCs w:val="24"/>
        </w:rPr>
        <w:t xml:space="preserve"> less than 0.5 MMBtu/hr shall not be included in this threshold assessment.</w:t>
      </w:r>
    </w:p>
    <w:p w14:paraId="72F5FD87" w14:textId="77777777" w:rsidR="00401D90" w:rsidRPr="00401D90" w:rsidRDefault="00401D90" w:rsidP="00401D90">
      <w:pPr>
        <w:pStyle w:val="RulesSub-Paragraph"/>
        <w:tabs>
          <w:tab w:val="clear" w:pos="360"/>
          <w:tab w:val="clear" w:pos="720"/>
          <w:tab w:val="clear" w:pos="1080"/>
          <w:tab w:val="clear" w:pos="1440"/>
          <w:tab w:val="clear" w:pos="1800"/>
          <w:tab w:val="clear" w:pos="2160"/>
        </w:tabs>
        <w:rPr>
          <w:sz w:val="24"/>
          <w:szCs w:val="24"/>
        </w:rPr>
      </w:pPr>
    </w:p>
    <w:p w14:paraId="620C0A9E" w14:textId="77777777" w:rsidR="00401D90" w:rsidRPr="00401D90" w:rsidRDefault="00401D90" w:rsidP="00401D90">
      <w:pPr>
        <w:pStyle w:val="RulesSub-Paragraph"/>
        <w:tabs>
          <w:tab w:val="clear" w:pos="360"/>
          <w:tab w:val="clear" w:pos="720"/>
          <w:tab w:val="clear" w:pos="1080"/>
          <w:tab w:val="clear" w:pos="1440"/>
          <w:tab w:val="clear" w:pos="1800"/>
          <w:tab w:val="clear" w:pos="2160"/>
        </w:tabs>
        <w:rPr>
          <w:sz w:val="24"/>
          <w:szCs w:val="24"/>
        </w:rPr>
      </w:pPr>
      <w:r w:rsidRPr="00401D90">
        <w:rPr>
          <w:sz w:val="24"/>
          <w:szCs w:val="24"/>
        </w:rPr>
        <w:t>(b)</w:t>
      </w:r>
      <w:r w:rsidRPr="00401D90">
        <w:rPr>
          <w:sz w:val="24"/>
          <w:szCs w:val="24"/>
        </w:rPr>
        <w:tab/>
        <w:t xml:space="preserve">Stationary internal combustion engines (or combinations thereof) whose total maximum design heat input is equal to or greater than 5.0 </w:t>
      </w:r>
      <w:r w:rsidR="00A37F0C" w:rsidRPr="00401D90">
        <w:rPr>
          <w:sz w:val="24"/>
          <w:szCs w:val="24"/>
        </w:rPr>
        <w:t>MMBtu/hr</w:t>
      </w:r>
      <w:r w:rsidR="00BF5F04">
        <w:rPr>
          <w:sz w:val="24"/>
          <w:szCs w:val="24"/>
        </w:rPr>
        <w:t xml:space="preserve"> or</w:t>
      </w:r>
      <w:r w:rsidRPr="00401D90">
        <w:rPr>
          <w:sz w:val="24"/>
          <w:szCs w:val="24"/>
        </w:rPr>
        <w:t xml:space="preserve"> gas/propane fired stationary internal combustion engine</w:t>
      </w:r>
      <w:r w:rsidR="00BF5F04">
        <w:rPr>
          <w:sz w:val="24"/>
          <w:szCs w:val="24"/>
        </w:rPr>
        <w:t>s</w:t>
      </w:r>
      <w:r w:rsidRPr="00401D90">
        <w:rPr>
          <w:sz w:val="24"/>
          <w:szCs w:val="24"/>
        </w:rPr>
        <w:t xml:space="preserve"> (or combination thereof) with a total maximum design heat input of equal to or greater than 10.0</w:t>
      </w:r>
      <w:r w:rsidR="00A37F0C">
        <w:rPr>
          <w:sz w:val="24"/>
          <w:szCs w:val="24"/>
        </w:rPr>
        <w:t> </w:t>
      </w:r>
      <w:r w:rsidR="00A37F0C" w:rsidRPr="00401D90">
        <w:rPr>
          <w:sz w:val="24"/>
          <w:szCs w:val="24"/>
        </w:rPr>
        <w:t>MMBtu/hr</w:t>
      </w:r>
      <w:r w:rsidRPr="00401D90">
        <w:rPr>
          <w:sz w:val="24"/>
          <w:szCs w:val="24"/>
        </w:rPr>
        <w:t>. Units less than 0.5</w:t>
      </w:r>
      <w:r w:rsidR="004B10C7">
        <w:rPr>
          <w:sz w:val="24"/>
          <w:szCs w:val="24"/>
        </w:rPr>
        <w:t> </w:t>
      </w:r>
      <w:r w:rsidRPr="00401D90">
        <w:rPr>
          <w:sz w:val="24"/>
          <w:szCs w:val="24"/>
        </w:rPr>
        <w:t>MMBtu/hr shall not be included in this threshold assessment.</w:t>
      </w:r>
    </w:p>
    <w:p w14:paraId="030042DE" w14:textId="77777777" w:rsidR="00401D90" w:rsidRPr="00401D90" w:rsidRDefault="00401D90" w:rsidP="00401D90">
      <w:pPr>
        <w:pStyle w:val="RulesParagraph"/>
        <w:tabs>
          <w:tab w:val="clear" w:pos="360"/>
          <w:tab w:val="clear" w:pos="720"/>
          <w:tab w:val="clear" w:pos="1080"/>
          <w:tab w:val="clear" w:pos="1440"/>
          <w:tab w:val="clear" w:pos="1800"/>
          <w:tab w:val="clear" w:pos="2160"/>
        </w:tabs>
        <w:rPr>
          <w:sz w:val="24"/>
          <w:szCs w:val="24"/>
        </w:rPr>
      </w:pPr>
    </w:p>
    <w:p w14:paraId="3C11EE9A" w14:textId="77777777" w:rsidR="00401D90" w:rsidRPr="00401D90" w:rsidRDefault="00401D90" w:rsidP="00401D90">
      <w:pPr>
        <w:pStyle w:val="RulesSub-Paragraph"/>
        <w:rPr>
          <w:sz w:val="24"/>
          <w:szCs w:val="24"/>
        </w:rPr>
      </w:pPr>
      <w:r w:rsidRPr="00401D90">
        <w:rPr>
          <w:sz w:val="24"/>
          <w:szCs w:val="24"/>
        </w:rPr>
        <w:t>(c)</w:t>
      </w:r>
      <w:r w:rsidRPr="00401D90">
        <w:rPr>
          <w:sz w:val="24"/>
          <w:szCs w:val="24"/>
        </w:rPr>
        <w:tab/>
        <w:t xml:space="preserve">Total facility general process sources whose emissions without consideration of air pollution control apparatus and under normal operation are equal to or greater than 100 lb/day of any regulated pollutant, except that these numerical limitations may not apply to a source which is subject to regulation for the control of hazardous air pollutants pursuant to Title 38 </w:t>
      </w:r>
      <w:r w:rsidR="004B10C7">
        <w:rPr>
          <w:sz w:val="24"/>
          <w:szCs w:val="24"/>
        </w:rPr>
        <w:t>M.R.S.</w:t>
      </w:r>
      <w:r w:rsidR="004B10C7" w:rsidRPr="00401D90">
        <w:rPr>
          <w:sz w:val="24"/>
          <w:szCs w:val="24"/>
        </w:rPr>
        <w:t xml:space="preserve"> </w:t>
      </w:r>
      <w:r w:rsidRPr="00401D90">
        <w:rPr>
          <w:sz w:val="24"/>
          <w:szCs w:val="24"/>
        </w:rPr>
        <w:t xml:space="preserve">Section 585-B, New Source Performance Standards promulgated at 40 </w:t>
      </w:r>
      <w:r w:rsidR="004B10C7">
        <w:rPr>
          <w:sz w:val="24"/>
          <w:szCs w:val="24"/>
        </w:rPr>
        <w:t xml:space="preserve">C.F.R. </w:t>
      </w:r>
      <w:r w:rsidRPr="00401D90">
        <w:rPr>
          <w:sz w:val="24"/>
          <w:szCs w:val="24"/>
        </w:rPr>
        <w:t>Part 60, or National Emission Standards for Hazardous Air Pollutants (NESHAPS) promulgated at 40</w:t>
      </w:r>
      <w:r w:rsidR="004B10C7">
        <w:rPr>
          <w:sz w:val="24"/>
          <w:szCs w:val="24"/>
        </w:rPr>
        <w:t xml:space="preserve">  C.F.R. </w:t>
      </w:r>
      <w:r w:rsidRPr="00401D90">
        <w:rPr>
          <w:sz w:val="24"/>
          <w:szCs w:val="24"/>
        </w:rPr>
        <w:t>Part</w:t>
      </w:r>
      <w:r w:rsidR="004B10C7">
        <w:rPr>
          <w:sz w:val="24"/>
          <w:szCs w:val="24"/>
        </w:rPr>
        <w:t> </w:t>
      </w:r>
      <w:r w:rsidRPr="00401D90">
        <w:rPr>
          <w:sz w:val="24"/>
          <w:szCs w:val="24"/>
        </w:rPr>
        <w:t>61 and 63.</w:t>
      </w:r>
    </w:p>
    <w:p w14:paraId="16FB6D61" w14:textId="77777777" w:rsidR="00401D90" w:rsidRPr="00401D90" w:rsidRDefault="00401D90" w:rsidP="00401D90">
      <w:pPr>
        <w:pStyle w:val="RulesParagraph"/>
        <w:tabs>
          <w:tab w:val="clear" w:pos="360"/>
          <w:tab w:val="clear" w:pos="720"/>
          <w:tab w:val="clear" w:pos="1080"/>
          <w:tab w:val="clear" w:pos="1440"/>
          <w:tab w:val="clear" w:pos="1800"/>
          <w:tab w:val="clear" w:pos="2160"/>
        </w:tabs>
        <w:rPr>
          <w:sz w:val="24"/>
          <w:szCs w:val="24"/>
        </w:rPr>
      </w:pPr>
    </w:p>
    <w:p w14:paraId="469FEE24" w14:textId="77777777" w:rsidR="00401D90" w:rsidRPr="00401D90" w:rsidRDefault="00401D90" w:rsidP="00401D90">
      <w:pPr>
        <w:pStyle w:val="RulesSub-Paragraph"/>
        <w:rPr>
          <w:sz w:val="24"/>
          <w:szCs w:val="24"/>
        </w:rPr>
      </w:pPr>
      <w:r w:rsidRPr="00401D90">
        <w:rPr>
          <w:sz w:val="24"/>
          <w:szCs w:val="24"/>
        </w:rPr>
        <w:t>(d)</w:t>
      </w:r>
      <w:r w:rsidRPr="00401D90">
        <w:rPr>
          <w:sz w:val="24"/>
          <w:szCs w:val="24"/>
        </w:rPr>
        <w:tab/>
        <w:t xml:space="preserve">Total facility general process sources whose emissions without consideration of air pollution control apparatus and under normal operation are equal to or greater than 10 lb/hr of any regulated pollutant, except that these numerical limitations may not apply to a source which is subject to regulation for the control of hazardous air pollutants pursuant to Title 38 </w:t>
      </w:r>
      <w:r w:rsidR="004B10C7">
        <w:rPr>
          <w:sz w:val="24"/>
          <w:szCs w:val="24"/>
        </w:rPr>
        <w:t>M.R.S.</w:t>
      </w:r>
      <w:r w:rsidR="004B10C7" w:rsidRPr="00401D90">
        <w:rPr>
          <w:sz w:val="24"/>
          <w:szCs w:val="24"/>
        </w:rPr>
        <w:t xml:space="preserve"> </w:t>
      </w:r>
      <w:r w:rsidRPr="00401D90">
        <w:rPr>
          <w:sz w:val="24"/>
          <w:szCs w:val="24"/>
        </w:rPr>
        <w:t xml:space="preserve">Section 585-B, New Source Performance Standards promulgated at 40 </w:t>
      </w:r>
      <w:r w:rsidR="004B10C7">
        <w:rPr>
          <w:sz w:val="24"/>
          <w:szCs w:val="24"/>
        </w:rPr>
        <w:t xml:space="preserve">C.F.R. </w:t>
      </w:r>
      <w:r w:rsidRPr="00401D90">
        <w:rPr>
          <w:sz w:val="24"/>
          <w:szCs w:val="24"/>
        </w:rPr>
        <w:t xml:space="preserve">Part 60, or National Emission Standards for Hazardous Air Pollutants (NESHAPS) promulgated at 40 </w:t>
      </w:r>
      <w:r w:rsidR="004B10C7">
        <w:rPr>
          <w:sz w:val="24"/>
          <w:szCs w:val="24"/>
        </w:rPr>
        <w:t xml:space="preserve">C.F.R. </w:t>
      </w:r>
      <w:r w:rsidRPr="00401D90">
        <w:rPr>
          <w:sz w:val="24"/>
          <w:szCs w:val="24"/>
        </w:rPr>
        <w:t>Part 61 and 63.</w:t>
      </w:r>
    </w:p>
    <w:p w14:paraId="007FB4FF" w14:textId="77777777" w:rsidR="00401D90" w:rsidRDefault="00401D90" w:rsidP="00401D90">
      <w:pPr>
        <w:ind w:left="720"/>
        <w:jc w:val="both"/>
      </w:pPr>
    </w:p>
    <w:p w14:paraId="3E4F4CEA" w14:textId="77777777" w:rsidR="00401D90" w:rsidRDefault="00401D90" w:rsidP="000F1A55">
      <w:pPr>
        <w:pStyle w:val="Heading3"/>
      </w:pPr>
      <w:r>
        <w:t>Under Chapter 140</w:t>
      </w:r>
      <w:r w:rsidR="00BF5F04">
        <w:t xml:space="preserve"> – major sources</w:t>
      </w:r>
    </w:p>
    <w:p w14:paraId="03468248" w14:textId="77777777" w:rsidR="00D747FF" w:rsidRDefault="00D747FF" w:rsidP="00D747FF">
      <w:pPr>
        <w:ind w:left="720"/>
        <w:jc w:val="both"/>
      </w:pPr>
    </w:p>
    <w:p w14:paraId="4300B7DB" w14:textId="77777777" w:rsidR="00D747FF" w:rsidRDefault="00D747FF" w:rsidP="00D747FF">
      <w:pPr>
        <w:ind w:left="720"/>
        <w:jc w:val="both"/>
      </w:pPr>
      <w:r>
        <w:t xml:space="preserve">All facilities which are </w:t>
      </w:r>
      <w:r w:rsidR="00BF5F04">
        <w:t xml:space="preserve">major sources </w:t>
      </w:r>
      <w:r>
        <w:t xml:space="preserve">shall </w:t>
      </w:r>
      <w:r w:rsidR="00BF5F04">
        <w:t>obtain a Part 70 license under Chapter 140</w:t>
      </w:r>
      <w:r>
        <w:t>.</w:t>
      </w:r>
      <w:r w:rsidR="005112F1">
        <w:t xml:space="preserve"> </w:t>
      </w:r>
      <w:r>
        <w:t xml:space="preserve">Facilities with the </w:t>
      </w:r>
      <w:r w:rsidR="00B46653">
        <w:t xml:space="preserve">potential </w:t>
      </w:r>
      <w:r>
        <w:t xml:space="preserve">to </w:t>
      </w:r>
      <w:r w:rsidR="00B46653">
        <w:t>e</w:t>
      </w:r>
      <w:r>
        <w:t xml:space="preserve">mit </w:t>
      </w:r>
      <w:r w:rsidRPr="00D747FF">
        <w:rPr>
          <w:u w:val="single"/>
        </w:rPr>
        <w:t>one or more</w:t>
      </w:r>
      <w:r>
        <w:t xml:space="preserve"> of the following are subject to Chapter</w:t>
      </w:r>
      <w:r w:rsidR="004B10C7">
        <w:t> </w:t>
      </w:r>
      <w:r>
        <w:t>140:</w:t>
      </w:r>
    </w:p>
    <w:p w14:paraId="0D9A3324" w14:textId="77777777" w:rsidR="00BF5F04" w:rsidRDefault="00BF5F04" w:rsidP="00BF5F04">
      <w:pPr>
        <w:ind w:left="720"/>
        <w:jc w:val="both"/>
      </w:pPr>
    </w:p>
    <w:p w14:paraId="6FA8A9BE" w14:textId="77777777" w:rsidR="00BF5F04" w:rsidRDefault="00BF5F04" w:rsidP="004F09BF">
      <w:pPr>
        <w:numPr>
          <w:ilvl w:val="0"/>
          <w:numId w:val="38"/>
        </w:numPr>
        <w:jc w:val="both"/>
      </w:pPr>
      <w:r>
        <w:t>50 ton per year of VOC</w:t>
      </w:r>
      <w:r w:rsidR="004F09BF" w:rsidRPr="004F09BF">
        <w:t xml:space="preserve"> </w:t>
      </w:r>
      <w:r w:rsidR="004F09BF">
        <w:t xml:space="preserve">for facilities located within the </w:t>
      </w:r>
      <w:hyperlink r:id="rId8" w:history="1">
        <w:r w:rsidR="004F09BF" w:rsidRPr="005D7638">
          <w:rPr>
            <w:rStyle w:val="Hyperlink"/>
          </w:rPr>
          <w:t>Ozone Transport Region</w:t>
        </w:r>
      </w:hyperlink>
    </w:p>
    <w:p w14:paraId="3484CAAC" w14:textId="77777777" w:rsidR="00BF5F04" w:rsidRDefault="00BF5F04" w:rsidP="00BF5F04">
      <w:pPr>
        <w:numPr>
          <w:ilvl w:val="0"/>
          <w:numId w:val="38"/>
        </w:numPr>
        <w:jc w:val="both"/>
      </w:pPr>
      <w:r>
        <w:t>10 ton per year of a single Hazardous Air Pollutant</w:t>
      </w:r>
    </w:p>
    <w:p w14:paraId="655FEAA5" w14:textId="77777777" w:rsidR="00BF5F04" w:rsidRDefault="00BF5F04" w:rsidP="00BF5F04">
      <w:pPr>
        <w:numPr>
          <w:ilvl w:val="0"/>
          <w:numId w:val="38"/>
        </w:numPr>
        <w:jc w:val="both"/>
      </w:pPr>
      <w:r>
        <w:t>25 ton per year of all Hazardous Air Pollutants combined</w:t>
      </w:r>
    </w:p>
    <w:p w14:paraId="2BB9A4B1" w14:textId="77777777" w:rsidR="00BF5F04" w:rsidRDefault="00BF5F04" w:rsidP="00BF5F04">
      <w:pPr>
        <w:numPr>
          <w:ilvl w:val="0"/>
          <w:numId w:val="38"/>
        </w:numPr>
        <w:jc w:val="both"/>
      </w:pPr>
      <w:r>
        <w:t xml:space="preserve">100 ton per year of </w:t>
      </w:r>
      <w:r w:rsidR="004F09BF">
        <w:t>any other regulated pollutant</w:t>
      </w:r>
      <w:r w:rsidR="00B46653">
        <w:t xml:space="preserve"> (including VOC for facilities not located within the Ozone Transport Region)</w:t>
      </w:r>
    </w:p>
    <w:p w14:paraId="0BEFF199" w14:textId="77777777" w:rsidR="00BF5F04" w:rsidRDefault="00BF5F04" w:rsidP="00BF5F04">
      <w:pPr>
        <w:ind w:left="720"/>
        <w:jc w:val="both"/>
      </w:pPr>
    </w:p>
    <w:p w14:paraId="0F141F26" w14:textId="77777777" w:rsidR="00D747FF" w:rsidRDefault="00D747FF" w:rsidP="00D747FF">
      <w:pPr>
        <w:ind w:left="720"/>
        <w:jc w:val="both"/>
      </w:pPr>
      <w:r>
        <w:t xml:space="preserve">Facilities that have the potential to be </w:t>
      </w:r>
      <w:r w:rsidR="00BF5F04">
        <w:t xml:space="preserve">a major source, but request to take federally enforceable </w:t>
      </w:r>
      <w:r>
        <w:t>limit</w:t>
      </w:r>
      <w:r w:rsidR="00BF5F04">
        <w:t>s</w:t>
      </w:r>
      <w:r>
        <w:t xml:space="preserve"> to </w:t>
      </w:r>
      <w:r w:rsidR="00BF5F04">
        <w:t>remain a minor source</w:t>
      </w:r>
      <w:r>
        <w:t xml:space="preserve">, will </w:t>
      </w:r>
      <w:r w:rsidR="00BF5F04">
        <w:t>be</w:t>
      </w:r>
      <w:r>
        <w:t xml:space="preserve"> </w:t>
      </w:r>
      <w:r w:rsidR="00BF5F04">
        <w:t>licensed as a synthetic minor source under Chapter 115</w:t>
      </w:r>
      <w:r>
        <w:t>.</w:t>
      </w:r>
    </w:p>
    <w:p w14:paraId="11FBC0DC" w14:textId="77777777" w:rsidR="00401D90" w:rsidRDefault="00401D90" w:rsidP="00401D90">
      <w:pPr>
        <w:ind w:left="360"/>
        <w:jc w:val="both"/>
        <w:rPr>
          <w:b/>
        </w:rPr>
      </w:pPr>
    </w:p>
    <w:p w14:paraId="0222796A" w14:textId="77777777" w:rsidR="00401D90" w:rsidRDefault="00D747FF" w:rsidP="000F1A55">
      <w:pPr>
        <w:pStyle w:val="Heading2"/>
      </w:pPr>
      <w:r>
        <w:t>What is the fee</w:t>
      </w:r>
      <w:r w:rsidR="00BF5F04">
        <w:t xml:space="preserve"> for an air emission license</w:t>
      </w:r>
      <w:r>
        <w:t>?</w:t>
      </w:r>
    </w:p>
    <w:p w14:paraId="7F98818A" w14:textId="77777777" w:rsidR="00D747FF" w:rsidRDefault="00D747FF" w:rsidP="00D747FF">
      <w:pPr>
        <w:ind w:left="360"/>
        <w:jc w:val="both"/>
      </w:pPr>
    </w:p>
    <w:p w14:paraId="18AE8785" w14:textId="77777777" w:rsidR="00D747FF" w:rsidRDefault="00D747FF" w:rsidP="00D747FF">
      <w:pPr>
        <w:ind w:left="360"/>
        <w:jc w:val="both"/>
      </w:pPr>
      <w:r>
        <w:lastRenderedPageBreak/>
        <w:t>Maine's fee system is an annual fee charged to the facili</w:t>
      </w:r>
      <w:r w:rsidR="00910D36">
        <w:t xml:space="preserve">ty based on </w:t>
      </w:r>
      <w:r w:rsidR="00BF5F04">
        <w:t>total potential</w:t>
      </w:r>
      <w:r w:rsidR="00910D36">
        <w:t xml:space="preserve"> emissions</w:t>
      </w:r>
      <w:r w:rsidR="00BF5F04">
        <w:t xml:space="preserve"> on a ton per year basis</w:t>
      </w:r>
      <w:r w:rsidR="00910D36">
        <w:t>.</w:t>
      </w:r>
      <w:r w:rsidR="00BF5F04">
        <w:t xml:space="preserve"> A</w:t>
      </w:r>
      <w:r>
        <w:t xml:space="preserve"> new source is responsible for submitting the annual fee with the initial application.</w:t>
      </w:r>
      <w:r w:rsidR="00E1378C">
        <w:t xml:space="preserve"> Please contact a licensing engineer in our Augusta office for help in determining the annual fee due with the application for a new source. </w:t>
      </w:r>
      <w:r w:rsidR="00BF5F04">
        <w:t>There is no application fee for modifications or renewals for existing licensed sources.</w:t>
      </w:r>
    </w:p>
    <w:p w14:paraId="7A91B196" w14:textId="77777777" w:rsidR="00D747FF" w:rsidRPr="00D747FF" w:rsidRDefault="00D747FF" w:rsidP="00D747FF">
      <w:pPr>
        <w:ind w:left="360"/>
        <w:jc w:val="both"/>
      </w:pPr>
    </w:p>
    <w:p w14:paraId="4256B124" w14:textId="77777777" w:rsidR="00D747FF" w:rsidRDefault="00D747FF" w:rsidP="000F1A55">
      <w:pPr>
        <w:pStyle w:val="Heading2"/>
      </w:pPr>
      <w:r>
        <w:t>How long are the licenses in effect?</w:t>
      </w:r>
    </w:p>
    <w:p w14:paraId="12D6906A" w14:textId="77777777" w:rsidR="00D747FF" w:rsidRDefault="00D747FF" w:rsidP="00D747FF">
      <w:pPr>
        <w:ind w:left="360"/>
        <w:jc w:val="both"/>
      </w:pPr>
    </w:p>
    <w:p w14:paraId="4C6F0048" w14:textId="77777777" w:rsidR="00D747FF" w:rsidRDefault="00D747FF" w:rsidP="00D747FF">
      <w:pPr>
        <w:ind w:left="360"/>
        <w:jc w:val="both"/>
      </w:pPr>
      <w:r>
        <w:t>Unless otherwise stated in the license, Chapter 115 licenses are in effect for ten years</w:t>
      </w:r>
      <w:r w:rsidR="008A5A9A">
        <w:t>,</w:t>
      </w:r>
      <w:r>
        <w:t xml:space="preserve"> and Chapter 140 licenses are in effect for 5 years. If modifications to the facility require that an amendment be issued</w:t>
      </w:r>
      <w:r w:rsidR="0032098A">
        <w:t>,</w:t>
      </w:r>
      <w:r>
        <w:t xml:space="preserve"> the term of the amendment is concurrent with the current license</w:t>
      </w:r>
      <w:r w:rsidR="0032098A">
        <w:t>.</w:t>
      </w:r>
    </w:p>
    <w:p w14:paraId="596AB8D3" w14:textId="77777777" w:rsidR="00D747FF" w:rsidRPr="00D747FF" w:rsidRDefault="00D747FF" w:rsidP="00D747FF">
      <w:pPr>
        <w:ind w:left="360"/>
        <w:jc w:val="both"/>
      </w:pPr>
    </w:p>
    <w:p w14:paraId="6E415B5A" w14:textId="77777777" w:rsidR="00D747FF" w:rsidRDefault="00D747FF" w:rsidP="000F1A55">
      <w:pPr>
        <w:pStyle w:val="Heading2"/>
      </w:pPr>
      <w:r>
        <w:t>When are license renewal applications due?</w:t>
      </w:r>
    </w:p>
    <w:p w14:paraId="5C5A90B1" w14:textId="77777777" w:rsidR="00D747FF" w:rsidRDefault="00D747FF" w:rsidP="00D747FF">
      <w:pPr>
        <w:ind w:left="360"/>
        <w:jc w:val="both"/>
      </w:pPr>
    </w:p>
    <w:p w14:paraId="196DC007" w14:textId="77777777" w:rsidR="00D747FF" w:rsidRDefault="00D747FF" w:rsidP="00D747FF">
      <w:pPr>
        <w:ind w:left="360"/>
        <w:jc w:val="both"/>
      </w:pPr>
      <w:r>
        <w:t xml:space="preserve">A complete and acceptable application for renewal of a </w:t>
      </w:r>
      <w:r w:rsidRPr="005D7638">
        <w:rPr>
          <w:u w:val="single"/>
        </w:rPr>
        <w:t>Chapter 115 license</w:t>
      </w:r>
      <w:r>
        <w:t xml:space="preserve"> must be received</w:t>
      </w:r>
      <w:r w:rsidR="00DB0072">
        <w:t xml:space="preserve"> by the D</w:t>
      </w:r>
      <w:r>
        <w:t>epartment no later than the expiration date of the current license.</w:t>
      </w:r>
    </w:p>
    <w:p w14:paraId="226C8B56" w14:textId="77777777" w:rsidR="00D747FF" w:rsidRDefault="00D747FF" w:rsidP="00D747FF">
      <w:pPr>
        <w:ind w:left="360"/>
        <w:jc w:val="both"/>
      </w:pPr>
    </w:p>
    <w:p w14:paraId="392A1DF6" w14:textId="77777777" w:rsidR="00D747FF" w:rsidRDefault="00D747FF" w:rsidP="00D747FF">
      <w:pPr>
        <w:ind w:left="360"/>
        <w:jc w:val="both"/>
      </w:pPr>
      <w:r>
        <w:t xml:space="preserve">A complete and acceptable application for renewal of a </w:t>
      </w:r>
      <w:r w:rsidRPr="005D7638">
        <w:rPr>
          <w:u w:val="single"/>
        </w:rPr>
        <w:t xml:space="preserve">Chapter 140 </w:t>
      </w:r>
      <w:r w:rsidR="00DB0072" w:rsidRPr="005D7638">
        <w:rPr>
          <w:u w:val="single"/>
        </w:rPr>
        <w:t>license</w:t>
      </w:r>
      <w:r w:rsidR="00DB0072">
        <w:t xml:space="preserve"> must be received by the Department no later than </w:t>
      </w:r>
      <w:r w:rsidR="00DB0072" w:rsidRPr="00DB0072">
        <w:rPr>
          <w:u w:val="single"/>
        </w:rPr>
        <w:t>6 months</w:t>
      </w:r>
      <w:r w:rsidR="00DB0072">
        <w:t xml:space="preserve"> prior to the expiration date of the current license. </w:t>
      </w:r>
    </w:p>
    <w:p w14:paraId="1FCC374B" w14:textId="77777777" w:rsidR="00DB0072" w:rsidRDefault="00DB0072" w:rsidP="00D747FF">
      <w:pPr>
        <w:ind w:left="360"/>
        <w:jc w:val="both"/>
      </w:pPr>
    </w:p>
    <w:p w14:paraId="7871F250" w14:textId="77777777" w:rsidR="00DB0072" w:rsidRDefault="00DB0072" w:rsidP="00D747FF">
      <w:pPr>
        <w:ind w:left="360"/>
        <w:jc w:val="both"/>
      </w:pPr>
      <w:r>
        <w:t xml:space="preserve">If complete and acceptable renewal applications are received on time, the current license </w:t>
      </w:r>
      <w:r w:rsidR="0032098A">
        <w:t>remains in effect</w:t>
      </w:r>
      <w:r>
        <w:t xml:space="preserve"> until the renewal application is acted upon. </w:t>
      </w:r>
    </w:p>
    <w:p w14:paraId="4669DE80" w14:textId="77777777" w:rsidR="00D747FF" w:rsidRPr="00D747FF" w:rsidRDefault="00D747FF" w:rsidP="00D747FF">
      <w:pPr>
        <w:ind w:left="360"/>
        <w:jc w:val="both"/>
      </w:pPr>
    </w:p>
    <w:p w14:paraId="66899CA7" w14:textId="77777777" w:rsidR="00D747FF" w:rsidRDefault="00DB0072" w:rsidP="000F1A55">
      <w:pPr>
        <w:pStyle w:val="Heading2"/>
      </w:pPr>
      <w:r>
        <w:t>Department Addresses and Phone Numbers</w:t>
      </w:r>
    </w:p>
    <w:p w14:paraId="484BAFCC" w14:textId="77777777" w:rsidR="00DB0072" w:rsidRDefault="00DB0072" w:rsidP="00DB0072">
      <w:pPr>
        <w:ind w:left="360"/>
        <w:jc w:val="both"/>
      </w:pPr>
    </w:p>
    <w:p w14:paraId="1AA40BFD" w14:textId="77777777" w:rsidR="00DB0072" w:rsidRDefault="00DB0072" w:rsidP="00DB0072">
      <w:pPr>
        <w:ind w:left="360"/>
        <w:jc w:val="both"/>
      </w:pPr>
      <w:r>
        <w:t>For licensing issues, contact the main office at the following address</w:t>
      </w:r>
      <w:r w:rsidR="0032098A">
        <w:t>es</w:t>
      </w:r>
      <w:r>
        <w:t>:</w:t>
      </w:r>
    </w:p>
    <w:p w14:paraId="226CAB73" w14:textId="77777777" w:rsidR="00DB0072" w:rsidRDefault="00DB0072" w:rsidP="00DB0072">
      <w:pPr>
        <w:ind w:left="360"/>
        <w:jc w:val="both"/>
      </w:pPr>
    </w:p>
    <w:tbl>
      <w:tblPr>
        <w:tblW w:w="8550" w:type="dxa"/>
        <w:tblInd w:w="468" w:type="dxa"/>
        <w:tblLook w:val="04A0" w:firstRow="1" w:lastRow="0" w:firstColumn="1" w:lastColumn="0" w:noHBand="0" w:noVBand="1"/>
      </w:tblPr>
      <w:tblGrid>
        <w:gridCol w:w="4230"/>
        <w:gridCol w:w="4320"/>
      </w:tblGrid>
      <w:tr w:rsidR="00DB0072" w14:paraId="7CFD9A49" w14:textId="77777777" w:rsidTr="00A03A9E">
        <w:tc>
          <w:tcPr>
            <w:tcW w:w="4230" w:type="dxa"/>
          </w:tcPr>
          <w:p w14:paraId="3DFA19A5" w14:textId="77777777" w:rsidR="00DB0072" w:rsidRPr="00A03A9E" w:rsidRDefault="00DB0072" w:rsidP="00A03A9E">
            <w:pPr>
              <w:jc w:val="both"/>
              <w:rPr>
                <w:u w:val="single"/>
              </w:rPr>
            </w:pPr>
            <w:r w:rsidRPr="00A03A9E">
              <w:rPr>
                <w:u w:val="single"/>
              </w:rPr>
              <w:t>Mailing Address</w:t>
            </w:r>
          </w:p>
        </w:tc>
        <w:tc>
          <w:tcPr>
            <w:tcW w:w="4320" w:type="dxa"/>
          </w:tcPr>
          <w:p w14:paraId="3EB691A1" w14:textId="77777777" w:rsidR="00DB0072" w:rsidRPr="00A03A9E" w:rsidRDefault="00DB0072" w:rsidP="00A03A9E">
            <w:pPr>
              <w:jc w:val="both"/>
              <w:rPr>
                <w:u w:val="single"/>
              </w:rPr>
            </w:pPr>
            <w:r w:rsidRPr="00A03A9E">
              <w:rPr>
                <w:u w:val="single"/>
              </w:rPr>
              <w:t>Physical Address</w:t>
            </w:r>
          </w:p>
        </w:tc>
      </w:tr>
      <w:tr w:rsidR="00DB0072" w14:paraId="277E0918" w14:textId="77777777" w:rsidTr="00A03A9E">
        <w:trPr>
          <w:trHeight w:val="1350"/>
        </w:trPr>
        <w:tc>
          <w:tcPr>
            <w:tcW w:w="4230" w:type="dxa"/>
          </w:tcPr>
          <w:p w14:paraId="2814E9B1" w14:textId="77777777" w:rsidR="00DB0072" w:rsidRDefault="00DB0072" w:rsidP="00A03A9E">
            <w:pPr>
              <w:jc w:val="both"/>
            </w:pPr>
            <w:r>
              <w:t>Department of Environmental Protection</w:t>
            </w:r>
          </w:p>
          <w:p w14:paraId="4555F8DA" w14:textId="77777777" w:rsidR="00DB0072" w:rsidRDefault="00DB0072" w:rsidP="00A03A9E">
            <w:pPr>
              <w:jc w:val="both"/>
            </w:pPr>
            <w:r>
              <w:t>Bureau of Air Quality</w:t>
            </w:r>
          </w:p>
          <w:p w14:paraId="0E389CF6" w14:textId="77777777" w:rsidR="00DB0072" w:rsidRDefault="00DB0072" w:rsidP="00A03A9E">
            <w:pPr>
              <w:jc w:val="both"/>
            </w:pPr>
            <w:r>
              <w:t>17 State House Station</w:t>
            </w:r>
          </w:p>
          <w:p w14:paraId="2CEA5412" w14:textId="77777777" w:rsidR="00DB0072" w:rsidRDefault="00DB0072" w:rsidP="00A03A9E">
            <w:pPr>
              <w:jc w:val="both"/>
            </w:pPr>
            <w:r>
              <w:t>Augusta, ME  04333-0017</w:t>
            </w:r>
          </w:p>
          <w:p w14:paraId="34A8140D" w14:textId="77777777" w:rsidR="00DB0072" w:rsidRDefault="000123BD" w:rsidP="00A03A9E">
            <w:pPr>
              <w:jc w:val="both"/>
            </w:pPr>
            <w:r>
              <w:t>(207) 287-7688</w:t>
            </w:r>
          </w:p>
        </w:tc>
        <w:tc>
          <w:tcPr>
            <w:tcW w:w="4320" w:type="dxa"/>
          </w:tcPr>
          <w:p w14:paraId="2F160493" w14:textId="77777777" w:rsidR="00DB0072" w:rsidRDefault="00DB0072" w:rsidP="00A03A9E">
            <w:pPr>
              <w:jc w:val="both"/>
            </w:pPr>
            <w:r>
              <w:t>Department of Environmental Protection</w:t>
            </w:r>
          </w:p>
          <w:p w14:paraId="7ABA4AAC" w14:textId="77777777" w:rsidR="00DB0072" w:rsidRDefault="00DB0072" w:rsidP="00A03A9E">
            <w:pPr>
              <w:jc w:val="both"/>
            </w:pPr>
            <w:r>
              <w:t>Bureau of Air Quality</w:t>
            </w:r>
          </w:p>
          <w:p w14:paraId="57CFAF6E" w14:textId="7F1393E3" w:rsidR="004F09BF" w:rsidRDefault="000F1A55" w:rsidP="00A03A9E">
            <w:pPr>
              <w:jc w:val="both"/>
            </w:pPr>
            <w:r>
              <w:t>28 Tyson Drive</w:t>
            </w:r>
          </w:p>
          <w:p w14:paraId="5589EE0B" w14:textId="77777777" w:rsidR="004F09BF" w:rsidRDefault="004F09BF" w:rsidP="00A03A9E">
            <w:pPr>
              <w:jc w:val="both"/>
            </w:pPr>
            <w:r>
              <w:t>Augusta, ME  04330</w:t>
            </w:r>
          </w:p>
        </w:tc>
      </w:tr>
    </w:tbl>
    <w:p w14:paraId="2EE0D1D7" w14:textId="77777777" w:rsidR="009F6FF7" w:rsidRDefault="009F6FF7" w:rsidP="00DB0072">
      <w:pPr>
        <w:ind w:left="360"/>
        <w:jc w:val="both"/>
      </w:pPr>
    </w:p>
    <w:p w14:paraId="5D8187D0" w14:textId="77777777" w:rsidR="000F1A55" w:rsidRDefault="000F1A55">
      <w:r>
        <w:br w:type="page"/>
      </w:r>
    </w:p>
    <w:p w14:paraId="01DEFB34" w14:textId="2D1D70EA" w:rsidR="00DB0072" w:rsidRDefault="00DB0072" w:rsidP="00DB0072">
      <w:pPr>
        <w:ind w:left="360"/>
        <w:jc w:val="both"/>
      </w:pPr>
      <w:r>
        <w:lastRenderedPageBreak/>
        <w:t>For purposes of complaints, compliance, and inspections, please contact the Regional Offices at the following addresses:</w:t>
      </w:r>
    </w:p>
    <w:p w14:paraId="6257A20D" w14:textId="77777777" w:rsidR="00DB0072" w:rsidRDefault="00DB0072" w:rsidP="00DB0072">
      <w:pPr>
        <w:ind w:left="360"/>
        <w:jc w:val="both"/>
      </w:pPr>
    </w:p>
    <w:tbl>
      <w:tblPr>
        <w:tblW w:w="0" w:type="auto"/>
        <w:tblInd w:w="360" w:type="dxa"/>
        <w:tblLook w:val="04A0" w:firstRow="1" w:lastRow="0" w:firstColumn="1" w:lastColumn="0" w:noHBand="0" w:noVBand="1"/>
      </w:tblPr>
      <w:tblGrid>
        <w:gridCol w:w="4248"/>
        <w:gridCol w:w="4248"/>
      </w:tblGrid>
      <w:tr w:rsidR="00DB0072" w14:paraId="068E8F2F" w14:textId="77777777" w:rsidTr="00A03A9E">
        <w:tc>
          <w:tcPr>
            <w:tcW w:w="4248" w:type="dxa"/>
          </w:tcPr>
          <w:p w14:paraId="56F0B45A" w14:textId="77777777" w:rsidR="00DB0072" w:rsidRDefault="00DB0072" w:rsidP="00A03A9E">
            <w:pPr>
              <w:jc w:val="both"/>
            </w:pPr>
            <w:r>
              <w:t>Southern Maine Regional Office</w:t>
            </w:r>
          </w:p>
          <w:p w14:paraId="6B43B330" w14:textId="77777777" w:rsidR="00DB0072" w:rsidRDefault="00DB0072" w:rsidP="00A03A9E">
            <w:pPr>
              <w:jc w:val="both"/>
            </w:pPr>
            <w:r>
              <w:t>312 Canco Road</w:t>
            </w:r>
          </w:p>
          <w:p w14:paraId="1F3E381E" w14:textId="77777777" w:rsidR="00DB0072" w:rsidRDefault="00DB0072" w:rsidP="00A03A9E">
            <w:pPr>
              <w:jc w:val="both"/>
            </w:pPr>
            <w:r>
              <w:t>Portland, ME  04103</w:t>
            </w:r>
          </w:p>
          <w:p w14:paraId="30FB9E28" w14:textId="77777777" w:rsidR="00DB0072" w:rsidRDefault="00DB0072" w:rsidP="00A03A9E">
            <w:pPr>
              <w:jc w:val="both"/>
            </w:pPr>
            <w:r>
              <w:t>(207) 822-6300</w:t>
            </w:r>
          </w:p>
        </w:tc>
        <w:tc>
          <w:tcPr>
            <w:tcW w:w="4248" w:type="dxa"/>
          </w:tcPr>
          <w:p w14:paraId="3FEF3468" w14:textId="77777777" w:rsidR="00DB0072" w:rsidRDefault="00DB0072" w:rsidP="00A03A9E">
            <w:pPr>
              <w:jc w:val="both"/>
            </w:pPr>
            <w:r>
              <w:t>Central Maine Regional Office</w:t>
            </w:r>
          </w:p>
          <w:p w14:paraId="56BA4562" w14:textId="77777777" w:rsidR="00DB0072" w:rsidRDefault="00DB0072" w:rsidP="00A03A9E">
            <w:pPr>
              <w:jc w:val="both"/>
            </w:pPr>
            <w:r>
              <w:t>17 State House Station</w:t>
            </w:r>
          </w:p>
          <w:p w14:paraId="4304A501" w14:textId="77777777" w:rsidR="00DB0072" w:rsidRDefault="00DB0072" w:rsidP="00A03A9E">
            <w:pPr>
              <w:jc w:val="both"/>
            </w:pPr>
            <w:r>
              <w:t>Augusta, ME  04333-0017</w:t>
            </w:r>
          </w:p>
          <w:p w14:paraId="243B007D" w14:textId="77777777" w:rsidR="00DB0072" w:rsidRDefault="00DB0072" w:rsidP="00A03A9E">
            <w:pPr>
              <w:jc w:val="both"/>
            </w:pPr>
            <w:r>
              <w:t xml:space="preserve">(207) </w:t>
            </w:r>
            <w:r w:rsidR="000743F8">
              <w:t>287-</w:t>
            </w:r>
            <w:r w:rsidR="000123BD">
              <w:t>7688</w:t>
            </w:r>
          </w:p>
        </w:tc>
      </w:tr>
      <w:tr w:rsidR="00DB0072" w14:paraId="542AC56D" w14:textId="77777777" w:rsidTr="00A03A9E">
        <w:tc>
          <w:tcPr>
            <w:tcW w:w="4248" w:type="dxa"/>
          </w:tcPr>
          <w:p w14:paraId="2617B466" w14:textId="77777777" w:rsidR="00DB0072" w:rsidRDefault="00DB0072" w:rsidP="00A03A9E">
            <w:pPr>
              <w:jc w:val="both"/>
            </w:pPr>
          </w:p>
        </w:tc>
        <w:tc>
          <w:tcPr>
            <w:tcW w:w="4248" w:type="dxa"/>
          </w:tcPr>
          <w:p w14:paraId="76707AFA" w14:textId="77777777" w:rsidR="00DB0072" w:rsidRDefault="00DB0072" w:rsidP="00A03A9E">
            <w:pPr>
              <w:jc w:val="both"/>
            </w:pPr>
          </w:p>
        </w:tc>
      </w:tr>
      <w:tr w:rsidR="00DB0072" w14:paraId="13ACF57F" w14:textId="77777777" w:rsidTr="00A03A9E">
        <w:tc>
          <w:tcPr>
            <w:tcW w:w="4248" w:type="dxa"/>
          </w:tcPr>
          <w:p w14:paraId="07E4C323" w14:textId="77777777" w:rsidR="00DB0072" w:rsidRDefault="00DB0072" w:rsidP="00A03A9E">
            <w:pPr>
              <w:jc w:val="both"/>
            </w:pPr>
            <w:r>
              <w:t>Eastern Maine Regional Office</w:t>
            </w:r>
          </w:p>
          <w:p w14:paraId="6E1ED5B3" w14:textId="77777777" w:rsidR="00DB0072" w:rsidRDefault="00DB0072" w:rsidP="00A03A9E">
            <w:pPr>
              <w:jc w:val="both"/>
            </w:pPr>
            <w:r>
              <w:t>106 Hogan Road</w:t>
            </w:r>
          </w:p>
          <w:p w14:paraId="2FF938E0" w14:textId="77777777" w:rsidR="00DB0072" w:rsidRDefault="00DB0072" w:rsidP="00A03A9E">
            <w:pPr>
              <w:jc w:val="both"/>
            </w:pPr>
            <w:r>
              <w:t>Bangor, ME  04401</w:t>
            </w:r>
          </w:p>
          <w:p w14:paraId="0707C52A" w14:textId="77777777" w:rsidR="00DB0072" w:rsidRDefault="00DB0072" w:rsidP="00A03A9E">
            <w:pPr>
              <w:jc w:val="both"/>
            </w:pPr>
            <w:r>
              <w:t>(207) 941-4570</w:t>
            </w:r>
          </w:p>
        </w:tc>
        <w:tc>
          <w:tcPr>
            <w:tcW w:w="4248" w:type="dxa"/>
          </w:tcPr>
          <w:p w14:paraId="5023A34A" w14:textId="77777777" w:rsidR="00DB0072" w:rsidRDefault="000743F8" w:rsidP="00A03A9E">
            <w:pPr>
              <w:jc w:val="both"/>
            </w:pPr>
            <w:r>
              <w:t>Northern Maine Regional Office</w:t>
            </w:r>
          </w:p>
          <w:p w14:paraId="023C2F38" w14:textId="77777777" w:rsidR="000743F8" w:rsidRDefault="000743F8" w:rsidP="00A03A9E">
            <w:pPr>
              <w:jc w:val="both"/>
            </w:pPr>
            <w:r>
              <w:t>1235 Central Drive Skyway Park</w:t>
            </w:r>
          </w:p>
          <w:p w14:paraId="59EC28F2" w14:textId="77777777" w:rsidR="000743F8" w:rsidRDefault="000743F8" w:rsidP="00A03A9E">
            <w:pPr>
              <w:jc w:val="both"/>
            </w:pPr>
            <w:r>
              <w:t>Presque Isle, ME  04769</w:t>
            </w:r>
          </w:p>
          <w:p w14:paraId="53EBAF32" w14:textId="77777777" w:rsidR="000743F8" w:rsidRDefault="000743F8" w:rsidP="00A03A9E">
            <w:pPr>
              <w:jc w:val="both"/>
            </w:pPr>
            <w:r>
              <w:t>(207) 764-0477</w:t>
            </w:r>
          </w:p>
        </w:tc>
      </w:tr>
    </w:tbl>
    <w:p w14:paraId="6D52C4ED" w14:textId="77777777" w:rsidR="00DB0072" w:rsidRPr="00DB0072" w:rsidRDefault="00DB0072" w:rsidP="00DB0072">
      <w:pPr>
        <w:ind w:left="360"/>
        <w:jc w:val="both"/>
      </w:pPr>
    </w:p>
    <w:p w14:paraId="1B59B65B" w14:textId="77777777" w:rsidR="00DB0072" w:rsidRDefault="000743F8" w:rsidP="000F1A55">
      <w:pPr>
        <w:pStyle w:val="Heading2"/>
      </w:pPr>
      <w:r>
        <w:t>The License Application</w:t>
      </w:r>
    </w:p>
    <w:p w14:paraId="5BB57715" w14:textId="77777777" w:rsidR="000743F8" w:rsidRDefault="000743F8" w:rsidP="000743F8">
      <w:pPr>
        <w:ind w:left="360"/>
        <w:jc w:val="both"/>
      </w:pPr>
    </w:p>
    <w:p w14:paraId="5BA6390B" w14:textId="77777777" w:rsidR="00851B3A" w:rsidRDefault="000743F8" w:rsidP="000743F8">
      <w:pPr>
        <w:ind w:left="360"/>
        <w:jc w:val="both"/>
      </w:pPr>
      <w:r>
        <w:t>The license application is a compilation of information about the emission units at the facility.</w:t>
      </w:r>
      <w:r w:rsidR="00851B3A">
        <w:t xml:space="preserve"> Applications for license renewals with no proposed changes to equipment typically do not require submission of additional information beyond the application form and proof of public notice. </w:t>
      </w:r>
      <w:r w:rsidR="00DA066D">
        <w:t>Not all pages of the license application forms will be relevant to all facilities. Pages which do not apply to your facility are not required to be completed. A cover letter containing comments is encouraged to clarify any information submitted in the application.</w:t>
      </w:r>
    </w:p>
    <w:p w14:paraId="12E741BA" w14:textId="77777777" w:rsidR="00851B3A" w:rsidRDefault="00851B3A" w:rsidP="000743F8">
      <w:pPr>
        <w:ind w:left="360"/>
        <w:jc w:val="both"/>
      </w:pPr>
    </w:p>
    <w:p w14:paraId="4CD1312B" w14:textId="77777777" w:rsidR="00AA0ECB" w:rsidRDefault="00851B3A" w:rsidP="000743F8">
      <w:pPr>
        <w:ind w:left="360"/>
        <w:jc w:val="both"/>
      </w:pPr>
      <w:r>
        <w:t>Applications for new facilities or changes to equipment at existing facilities may require submission of additional information.</w:t>
      </w:r>
      <w:r w:rsidR="000743F8">
        <w:t xml:space="preserve"> </w:t>
      </w:r>
      <w:r w:rsidR="00AA0ECB">
        <w:t>Depending on the size and complexity of the emission units proposed, the applicant may be required to submit additional analyses to support the request for an air emission license or amendment. They may include</w:t>
      </w:r>
      <w:r>
        <w:t>:</w:t>
      </w:r>
    </w:p>
    <w:p w14:paraId="10582C18" w14:textId="77777777" w:rsidR="00AA0ECB" w:rsidRDefault="00AA0ECB" w:rsidP="000743F8">
      <w:pPr>
        <w:ind w:left="360"/>
        <w:jc w:val="both"/>
      </w:pPr>
    </w:p>
    <w:p w14:paraId="21A056A8" w14:textId="77777777" w:rsidR="000743F8" w:rsidRDefault="00AA0ECB" w:rsidP="00AA0ECB">
      <w:pPr>
        <w:numPr>
          <w:ilvl w:val="0"/>
          <w:numId w:val="39"/>
        </w:numPr>
        <w:jc w:val="both"/>
      </w:pPr>
      <w:r>
        <w:t>Best Available Control Technology (BACT) analysis: A BACT analysis identifies and evaluates potential emission control options taking into account the current state of technology and cost effectiveness.</w:t>
      </w:r>
    </w:p>
    <w:p w14:paraId="1F293EE1" w14:textId="77777777" w:rsidR="00AA0ECB" w:rsidRDefault="00AA0ECB" w:rsidP="00AA0ECB">
      <w:pPr>
        <w:numPr>
          <w:ilvl w:val="0"/>
          <w:numId w:val="39"/>
        </w:numPr>
        <w:jc w:val="both"/>
      </w:pPr>
      <w:r>
        <w:t xml:space="preserve">Ambient Air Quality Impact </w:t>
      </w:r>
      <w:r w:rsidR="00851B3A">
        <w:t xml:space="preserve">Modeling </w:t>
      </w:r>
      <w:r>
        <w:t>Analysis</w:t>
      </w:r>
      <w:r w:rsidR="00851B3A">
        <w:t xml:space="preserve">: A computer modeling analysis used to demonstrate whether or not </w:t>
      </w:r>
      <w:r w:rsidR="00443E92">
        <w:t xml:space="preserve">emissions from </w:t>
      </w:r>
      <w:r w:rsidR="00851B3A">
        <w:t>the proposed facility will cause or contribute to violations of ambient air quality standards.</w:t>
      </w:r>
    </w:p>
    <w:p w14:paraId="0C5DFB08" w14:textId="77777777" w:rsidR="00851B3A" w:rsidRDefault="00851B3A" w:rsidP="005D7638">
      <w:pPr>
        <w:numPr>
          <w:ilvl w:val="0"/>
          <w:numId w:val="39"/>
        </w:numPr>
        <w:jc w:val="both"/>
      </w:pPr>
      <w:r>
        <w:t xml:space="preserve">Qualitative Ambient Impact Screening Analysis: </w:t>
      </w:r>
      <w:r w:rsidR="00DA066D">
        <w:t xml:space="preserve">A written justification as to why the proposed equipment will not cause or contribute to violations of ambient air quality standards. </w:t>
      </w:r>
    </w:p>
    <w:p w14:paraId="0C742BB7" w14:textId="77777777" w:rsidR="000743F8" w:rsidRDefault="000743F8" w:rsidP="000743F8">
      <w:pPr>
        <w:ind w:left="360"/>
        <w:jc w:val="both"/>
      </w:pPr>
    </w:p>
    <w:p w14:paraId="5FBDBBBC" w14:textId="77777777" w:rsidR="00DA066D" w:rsidRDefault="00DA066D" w:rsidP="000743F8">
      <w:pPr>
        <w:ind w:left="360"/>
        <w:jc w:val="both"/>
      </w:pPr>
      <w:r>
        <w:t>The Department offers pre-application meetings to assist with questions about the application process, how to fill out the application forms, and determination of what, if any, additional analyses will be required. To request a pre-application meeting, contact a</w:t>
      </w:r>
      <w:r w:rsidR="00443E92">
        <w:t>n</w:t>
      </w:r>
      <w:r>
        <w:t xml:space="preserve"> Air Licensing staff member at (207) 287-7688 or email us at </w:t>
      </w:r>
      <w:hyperlink r:id="rId9" w:history="1">
        <w:r w:rsidRPr="00DA066D">
          <w:rPr>
            <w:rStyle w:val="Hyperlink"/>
          </w:rPr>
          <w:t>DEP</w:t>
        </w:r>
        <w:r w:rsidRPr="00DA066D">
          <w:rPr>
            <w:rStyle w:val="Hyperlink"/>
          </w:rPr>
          <w:noBreakHyphen/>
          <w:t>Air</w:t>
        </w:r>
        <w:r w:rsidRPr="00DA066D">
          <w:rPr>
            <w:rStyle w:val="Hyperlink"/>
          </w:rPr>
          <w:noBreakHyphen/>
          <w:t>Licensing</w:t>
        </w:r>
        <w:r w:rsidRPr="00DA066D">
          <w:rPr>
            <w:rStyle w:val="Hyperlink"/>
          </w:rPr>
          <w:noBreakHyphen/>
          <w:t>Help@maine.gov</w:t>
        </w:r>
      </w:hyperlink>
      <w:r>
        <w:t xml:space="preserve">. </w:t>
      </w:r>
    </w:p>
    <w:p w14:paraId="0CD7F43D" w14:textId="77777777" w:rsidR="00DA066D" w:rsidRDefault="00DA066D" w:rsidP="000743F8">
      <w:pPr>
        <w:ind w:left="360"/>
        <w:jc w:val="both"/>
      </w:pPr>
    </w:p>
    <w:p w14:paraId="53C192F0" w14:textId="77777777" w:rsidR="00237D7A" w:rsidRDefault="00237D7A" w:rsidP="004A021B">
      <w:pPr>
        <w:jc w:val="both"/>
      </w:pPr>
    </w:p>
    <w:sectPr w:rsidR="00237D7A" w:rsidSect="004B10C7">
      <w:headerReference w:type="default" r:id="rId10"/>
      <w:pgSz w:w="12240" w:h="15840"/>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FB47" w14:textId="77777777" w:rsidR="00DE262E" w:rsidRDefault="00DE262E">
      <w:r>
        <w:separator/>
      </w:r>
    </w:p>
  </w:endnote>
  <w:endnote w:type="continuationSeparator" w:id="0">
    <w:p w14:paraId="1AD7A2F4" w14:textId="77777777" w:rsidR="00DE262E" w:rsidRDefault="00DE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9AD9" w14:textId="77777777" w:rsidR="00DE262E" w:rsidRDefault="00DE262E">
      <w:r>
        <w:separator/>
      </w:r>
    </w:p>
  </w:footnote>
  <w:footnote w:type="continuationSeparator" w:id="0">
    <w:p w14:paraId="754E7787" w14:textId="77777777" w:rsidR="00DE262E" w:rsidRDefault="00DE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910D36" w14:paraId="79AAEB91" w14:textId="77777777" w:rsidTr="006134E4">
      <w:trPr>
        <w:jc w:val="right"/>
      </w:trPr>
      <w:tc>
        <w:tcPr>
          <w:tcW w:w="1998" w:type="dxa"/>
        </w:tcPr>
        <w:p w14:paraId="7324B1F8" w14:textId="50EAAD5B" w:rsidR="00910D36" w:rsidRDefault="00910D36" w:rsidP="006134E4">
          <w:pPr>
            <w:rPr>
              <w:sz w:val="16"/>
            </w:rPr>
          </w:pPr>
          <w:r>
            <w:rPr>
              <w:sz w:val="16"/>
            </w:rPr>
            <w:t>Form No.</w:t>
          </w:r>
        </w:p>
      </w:tc>
      <w:tc>
        <w:tcPr>
          <w:tcW w:w="1260" w:type="dxa"/>
        </w:tcPr>
        <w:p w14:paraId="61CC677C" w14:textId="77777777" w:rsidR="00910D36" w:rsidRDefault="00910D36" w:rsidP="006134E4">
          <w:pPr>
            <w:jc w:val="right"/>
            <w:rPr>
              <w:sz w:val="16"/>
            </w:rPr>
          </w:pPr>
          <w:r>
            <w:rPr>
              <w:sz w:val="16"/>
            </w:rPr>
            <w:t>A-L-0074</w:t>
          </w:r>
        </w:p>
      </w:tc>
    </w:tr>
    <w:tr w:rsidR="00910D36" w14:paraId="753584A0" w14:textId="77777777" w:rsidTr="006134E4">
      <w:trPr>
        <w:jc w:val="right"/>
      </w:trPr>
      <w:tc>
        <w:tcPr>
          <w:tcW w:w="1998" w:type="dxa"/>
        </w:tcPr>
        <w:p w14:paraId="2D1C0C9E" w14:textId="77777777" w:rsidR="00910D36" w:rsidRDefault="00910D36" w:rsidP="006134E4">
          <w:pPr>
            <w:rPr>
              <w:sz w:val="16"/>
            </w:rPr>
          </w:pPr>
          <w:r>
            <w:rPr>
              <w:sz w:val="16"/>
            </w:rPr>
            <w:t>Effective Date</w:t>
          </w:r>
        </w:p>
      </w:tc>
      <w:tc>
        <w:tcPr>
          <w:tcW w:w="1260" w:type="dxa"/>
        </w:tcPr>
        <w:p w14:paraId="281CD574" w14:textId="77777777" w:rsidR="00910D36" w:rsidRDefault="007E65DA" w:rsidP="006134E4">
          <w:pPr>
            <w:jc w:val="right"/>
            <w:rPr>
              <w:sz w:val="16"/>
            </w:rPr>
          </w:pPr>
          <w:r>
            <w:rPr>
              <w:sz w:val="16"/>
            </w:rPr>
            <w:t>4/1997</w:t>
          </w:r>
        </w:p>
      </w:tc>
    </w:tr>
    <w:tr w:rsidR="00910D36" w14:paraId="79DF7279" w14:textId="77777777" w:rsidTr="006134E4">
      <w:trPr>
        <w:jc w:val="right"/>
      </w:trPr>
      <w:tc>
        <w:tcPr>
          <w:tcW w:w="1998" w:type="dxa"/>
        </w:tcPr>
        <w:p w14:paraId="212DE4E3" w14:textId="77777777" w:rsidR="00910D36" w:rsidRDefault="00910D36" w:rsidP="006134E4">
          <w:pPr>
            <w:rPr>
              <w:sz w:val="16"/>
            </w:rPr>
          </w:pPr>
          <w:r>
            <w:rPr>
              <w:sz w:val="16"/>
            </w:rPr>
            <w:t>Revision No.</w:t>
          </w:r>
        </w:p>
      </w:tc>
      <w:tc>
        <w:tcPr>
          <w:tcW w:w="1260" w:type="dxa"/>
        </w:tcPr>
        <w:p w14:paraId="78B2AE8E" w14:textId="42233E1B" w:rsidR="00910D36" w:rsidRDefault="00FA37F3" w:rsidP="006134E4">
          <w:pPr>
            <w:jc w:val="right"/>
            <w:rPr>
              <w:sz w:val="16"/>
            </w:rPr>
          </w:pPr>
          <w:r>
            <w:rPr>
              <w:sz w:val="16"/>
            </w:rPr>
            <w:t>04</w:t>
          </w:r>
        </w:p>
      </w:tc>
    </w:tr>
    <w:tr w:rsidR="00910D36" w14:paraId="054E11CD" w14:textId="77777777" w:rsidTr="006134E4">
      <w:trPr>
        <w:jc w:val="right"/>
      </w:trPr>
      <w:tc>
        <w:tcPr>
          <w:tcW w:w="1998" w:type="dxa"/>
        </w:tcPr>
        <w:p w14:paraId="0C377396" w14:textId="77777777" w:rsidR="00910D36" w:rsidRDefault="00910D36" w:rsidP="006134E4">
          <w:pPr>
            <w:rPr>
              <w:sz w:val="16"/>
            </w:rPr>
          </w:pPr>
          <w:r>
            <w:rPr>
              <w:sz w:val="16"/>
            </w:rPr>
            <w:t>Last Revision Date</w:t>
          </w:r>
        </w:p>
      </w:tc>
      <w:tc>
        <w:tcPr>
          <w:tcW w:w="1260" w:type="dxa"/>
        </w:tcPr>
        <w:p w14:paraId="4659FD0F" w14:textId="078C45AD" w:rsidR="00910D36" w:rsidRDefault="003175B9" w:rsidP="00220270">
          <w:pPr>
            <w:jc w:val="right"/>
            <w:rPr>
              <w:sz w:val="16"/>
            </w:rPr>
          </w:pPr>
          <w:r>
            <w:rPr>
              <w:sz w:val="16"/>
            </w:rPr>
            <w:t>1/21/2026</w:t>
          </w:r>
        </w:p>
      </w:tc>
    </w:tr>
    <w:tr w:rsidR="00910D36" w14:paraId="682FF104" w14:textId="77777777" w:rsidTr="006134E4">
      <w:trPr>
        <w:jc w:val="right"/>
      </w:trPr>
      <w:tc>
        <w:tcPr>
          <w:tcW w:w="1998" w:type="dxa"/>
        </w:tcPr>
        <w:p w14:paraId="1F0DA7C9" w14:textId="77777777" w:rsidR="00910D36" w:rsidRDefault="00910D36" w:rsidP="006134E4">
          <w:pPr>
            <w:rPr>
              <w:sz w:val="16"/>
            </w:rPr>
          </w:pPr>
        </w:p>
      </w:tc>
      <w:tc>
        <w:tcPr>
          <w:tcW w:w="1260" w:type="dxa"/>
        </w:tcPr>
        <w:p w14:paraId="69EA9A57" w14:textId="77777777" w:rsidR="00910D36" w:rsidRDefault="00910D36" w:rsidP="006134E4">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6708CE">
            <w:rPr>
              <w:noProof/>
              <w:snapToGrid w:val="0"/>
              <w:sz w:val="16"/>
            </w:rPr>
            <w:t>4</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6708CE">
            <w:rPr>
              <w:noProof/>
              <w:snapToGrid w:val="0"/>
              <w:sz w:val="16"/>
            </w:rPr>
            <w:t>4</w:t>
          </w:r>
          <w:r>
            <w:rPr>
              <w:snapToGrid w:val="0"/>
              <w:sz w:val="16"/>
            </w:rPr>
            <w:fldChar w:fldCharType="end"/>
          </w:r>
        </w:p>
      </w:tc>
    </w:tr>
  </w:tbl>
  <w:p w14:paraId="123E187F" w14:textId="56095526" w:rsidR="00910D36" w:rsidRDefault="000F1A55">
    <w:pPr>
      <w:pStyle w:val="Header"/>
    </w:pPr>
    <w:r>
      <w:rPr>
        <w:noProof/>
      </w:rPr>
      <w:drawing>
        <wp:anchor distT="0" distB="0" distL="114300" distR="114300" simplePos="0" relativeHeight="251657728" behindDoc="0" locked="0" layoutInCell="0" allowOverlap="1" wp14:anchorId="0CB80690" wp14:editId="233AF8EA">
          <wp:simplePos x="0" y="0"/>
          <wp:positionH relativeFrom="column">
            <wp:posOffset>133350</wp:posOffset>
          </wp:positionH>
          <wp:positionV relativeFrom="paragraph">
            <wp:posOffset>-612775</wp:posOffset>
          </wp:positionV>
          <wp:extent cx="594360" cy="594360"/>
          <wp:effectExtent l="0" t="0" r="0" b="0"/>
          <wp:wrapNone/>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5BA"/>
    <w:multiLevelType w:val="multilevel"/>
    <w:tmpl w:val="E2AEA848"/>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005CC6"/>
    <w:multiLevelType w:val="hybridMultilevel"/>
    <w:tmpl w:val="D8EC63FA"/>
    <w:lvl w:ilvl="0" w:tplc="C72A1CF8">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1A3A"/>
    <w:multiLevelType w:val="multilevel"/>
    <w:tmpl w:val="D1E028EA"/>
    <w:lvl w:ilvl="0">
      <w:start w:val="1"/>
      <w:numFmt w:val="upperLetter"/>
      <w:lvlText w:val="%1."/>
      <w:lvlJc w:val="left"/>
      <w:pPr>
        <w:tabs>
          <w:tab w:val="num" w:pos="720"/>
        </w:tabs>
        <w:ind w:left="720" w:hanging="360"/>
      </w:pPr>
      <w:rPr>
        <w:rFonts w:hint="default"/>
        <w:b/>
        <w:i w:val="0"/>
      </w:rPr>
    </w:lvl>
    <w:lvl w:ilvl="1">
      <w:start w:val="17"/>
      <w:numFmt w:val="decimal"/>
      <w:lvlText w:val="(%2)"/>
      <w:lvlJc w:val="left"/>
      <w:pPr>
        <w:tabs>
          <w:tab w:val="num" w:pos="1800"/>
        </w:tabs>
        <w:ind w:left="1800" w:hanging="72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636179"/>
    <w:multiLevelType w:val="multilevel"/>
    <w:tmpl w:val="3F58995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4F3F62"/>
    <w:multiLevelType w:val="hybridMultilevel"/>
    <w:tmpl w:val="90BAB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5C192F"/>
    <w:multiLevelType w:val="hybridMultilevel"/>
    <w:tmpl w:val="00ECB1E4"/>
    <w:lvl w:ilvl="0" w:tplc="480C6770">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46CBB"/>
    <w:multiLevelType w:val="hybridMultilevel"/>
    <w:tmpl w:val="FC2E3760"/>
    <w:lvl w:ilvl="0" w:tplc="CC2C55F8">
      <w:start w:val="1"/>
      <w:numFmt w:val="upperLetter"/>
      <w:pStyle w:val="Heading3"/>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E3560"/>
    <w:multiLevelType w:val="hybridMultilevel"/>
    <w:tmpl w:val="89CA9516"/>
    <w:lvl w:ilvl="0" w:tplc="F5EC1B90">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F545E"/>
    <w:multiLevelType w:val="hybridMultilevel"/>
    <w:tmpl w:val="B24CA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00978"/>
    <w:multiLevelType w:val="multilevel"/>
    <w:tmpl w:val="42EAA0FC"/>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8F047F"/>
    <w:multiLevelType w:val="hybridMultilevel"/>
    <w:tmpl w:val="630C2ACC"/>
    <w:lvl w:ilvl="0" w:tplc="A62A2614">
      <w:start w:val="9"/>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672006"/>
    <w:multiLevelType w:val="hybridMultilevel"/>
    <w:tmpl w:val="D1E028EA"/>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5417DF"/>
    <w:multiLevelType w:val="hybridMultilevel"/>
    <w:tmpl w:val="E566F6A4"/>
    <w:lvl w:ilvl="0" w:tplc="67B29EA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C748D1"/>
    <w:multiLevelType w:val="multilevel"/>
    <w:tmpl w:val="D16E016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5C03C2"/>
    <w:multiLevelType w:val="hybridMultilevel"/>
    <w:tmpl w:val="3CC4A7BC"/>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6019B"/>
    <w:multiLevelType w:val="multilevel"/>
    <w:tmpl w:val="8186697E"/>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0F08ED"/>
    <w:multiLevelType w:val="hybridMultilevel"/>
    <w:tmpl w:val="2066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6B24F8"/>
    <w:multiLevelType w:val="hybridMultilevel"/>
    <w:tmpl w:val="9202D71E"/>
    <w:lvl w:ilvl="0" w:tplc="2CD677DA">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B565E5"/>
    <w:multiLevelType w:val="hybridMultilevel"/>
    <w:tmpl w:val="BFE64B4E"/>
    <w:lvl w:ilvl="0" w:tplc="84E4A4FE">
      <w:start w:val="1"/>
      <w:numFmt w:val="decimal"/>
      <w:pStyle w:val="Heading2"/>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2709B"/>
    <w:multiLevelType w:val="multilevel"/>
    <w:tmpl w:val="595C9318"/>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673A32"/>
    <w:multiLevelType w:val="multilevel"/>
    <w:tmpl w:val="1B642DEA"/>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B95042"/>
    <w:multiLevelType w:val="singleLevel"/>
    <w:tmpl w:val="654ED53A"/>
    <w:lvl w:ilvl="0">
      <w:start w:val="1"/>
      <w:numFmt w:val="decimal"/>
      <w:lvlText w:val="(%1)"/>
      <w:lvlJc w:val="left"/>
      <w:pPr>
        <w:tabs>
          <w:tab w:val="num" w:pos="720"/>
        </w:tabs>
        <w:ind w:left="720" w:hanging="360"/>
      </w:pPr>
      <w:rPr>
        <w:rFonts w:hint="default"/>
        <w:b w:val="0"/>
        <w:i w:val="0"/>
        <w:u w:val="none"/>
      </w:rPr>
    </w:lvl>
  </w:abstractNum>
  <w:abstractNum w:abstractNumId="22" w15:restartNumberingAfterBreak="0">
    <w:nsid w:val="48577216"/>
    <w:multiLevelType w:val="multilevel"/>
    <w:tmpl w:val="664265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6F3B08"/>
    <w:multiLevelType w:val="multilevel"/>
    <w:tmpl w:val="630C2ACC"/>
    <w:lvl w:ilvl="0">
      <w:start w:val="9"/>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25"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26" w15:restartNumberingAfterBreak="0">
    <w:nsid w:val="511420A9"/>
    <w:multiLevelType w:val="hybridMultilevel"/>
    <w:tmpl w:val="42EAA0FC"/>
    <w:lvl w:ilvl="0" w:tplc="B428EE24">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E571CD"/>
    <w:multiLevelType w:val="multilevel"/>
    <w:tmpl w:val="F6F4AF8C"/>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BE4351"/>
    <w:multiLevelType w:val="hybridMultilevel"/>
    <w:tmpl w:val="29A4E65A"/>
    <w:lvl w:ilvl="0" w:tplc="A6C8B65E">
      <w:start w:val="1"/>
      <w:numFmt w:val="upperLetter"/>
      <w:lvlText w:val="%1."/>
      <w:lvlJc w:val="left"/>
      <w:pPr>
        <w:tabs>
          <w:tab w:val="num" w:pos="720"/>
        </w:tabs>
        <w:ind w:left="720" w:hanging="360"/>
      </w:pPr>
      <w:rPr>
        <w:rFonts w:hint="default"/>
        <w:b/>
        <w:i w:val="0"/>
      </w:rPr>
    </w:lvl>
    <w:lvl w:ilvl="1" w:tplc="96B4E026">
      <w:start w:val="1"/>
      <w:numFmt w:val="decimal"/>
      <w:lvlText w:val="%2."/>
      <w:lvlJc w:val="left"/>
      <w:pPr>
        <w:tabs>
          <w:tab w:val="num" w:pos="1080"/>
        </w:tabs>
        <w:ind w:left="1080" w:hanging="360"/>
      </w:pPr>
      <w:rPr>
        <w:rFonts w:hint="default"/>
        <w:b w:val="0"/>
        <w:i w:val="0"/>
      </w:rPr>
    </w:lvl>
    <w:lvl w:ilvl="2" w:tplc="E72C23D0">
      <w:start w:val="1"/>
      <w:numFmt w:val="decimal"/>
      <w:lvlText w:val="%3."/>
      <w:lvlJc w:val="left"/>
      <w:pPr>
        <w:tabs>
          <w:tab w:val="num" w:pos="1080"/>
        </w:tabs>
        <w:ind w:left="1080" w:hanging="360"/>
      </w:pPr>
      <w:rPr>
        <w:rFonts w:hint="default"/>
        <w:b w:val="0"/>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02732F"/>
    <w:multiLevelType w:val="multilevel"/>
    <w:tmpl w:val="29A4E65A"/>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080"/>
        </w:tabs>
        <w:ind w:left="108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4D1B6B"/>
    <w:multiLevelType w:val="hybridMultilevel"/>
    <w:tmpl w:val="76620A04"/>
    <w:lvl w:ilvl="0" w:tplc="8960C6A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EF6029"/>
    <w:multiLevelType w:val="multilevel"/>
    <w:tmpl w:val="DBC83F6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EC0109"/>
    <w:multiLevelType w:val="multilevel"/>
    <w:tmpl w:val="ECF4E880"/>
    <w:lvl w:ilvl="0">
      <w:start w:val="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5F3538"/>
    <w:multiLevelType w:val="multilevel"/>
    <w:tmpl w:val="8EE68774"/>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9AA6A01"/>
    <w:multiLevelType w:val="hybridMultilevel"/>
    <w:tmpl w:val="D56E7DA6"/>
    <w:lvl w:ilvl="0" w:tplc="DF2C4B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1212D2"/>
    <w:multiLevelType w:val="multilevel"/>
    <w:tmpl w:val="B3EAC8B2"/>
    <w:lvl w:ilvl="0">
      <w:start w:val="1"/>
      <w:numFmt w:val="decimal"/>
      <w:lvlText w:val="(%1)"/>
      <w:lvlJc w:val="left"/>
      <w:pPr>
        <w:tabs>
          <w:tab w:val="num" w:pos="1080"/>
        </w:tabs>
        <w:ind w:left="108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E217A7"/>
    <w:multiLevelType w:val="hybridMultilevel"/>
    <w:tmpl w:val="5894ACD6"/>
    <w:lvl w:ilvl="0" w:tplc="2000212C">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8C44FE"/>
    <w:multiLevelType w:val="hybridMultilevel"/>
    <w:tmpl w:val="2DCC3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2F2DF2"/>
    <w:multiLevelType w:val="hybridMultilevel"/>
    <w:tmpl w:val="66D689DA"/>
    <w:lvl w:ilvl="0" w:tplc="283E249E">
      <w:start w:val="1"/>
      <w:numFmt w:val="decimal"/>
      <w:lvlText w:val="(%1)"/>
      <w:lvlJc w:val="left"/>
      <w:pPr>
        <w:tabs>
          <w:tab w:val="num" w:pos="720"/>
        </w:tabs>
        <w:ind w:left="792" w:hanging="432"/>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4816736">
    <w:abstractNumId w:val="8"/>
  </w:num>
  <w:num w:numId="2" w16cid:durableId="207962547">
    <w:abstractNumId w:val="37"/>
  </w:num>
  <w:num w:numId="3" w16cid:durableId="544098335">
    <w:abstractNumId w:val="21"/>
  </w:num>
  <w:num w:numId="4" w16cid:durableId="360473385">
    <w:abstractNumId w:val="11"/>
  </w:num>
  <w:num w:numId="5" w16cid:durableId="2057847525">
    <w:abstractNumId w:val="30"/>
  </w:num>
  <w:num w:numId="6" w16cid:durableId="532352337">
    <w:abstractNumId w:val="36"/>
  </w:num>
  <w:num w:numId="7" w16cid:durableId="519971512">
    <w:abstractNumId w:val="25"/>
  </w:num>
  <w:num w:numId="8" w16cid:durableId="879975534">
    <w:abstractNumId w:val="24"/>
  </w:num>
  <w:num w:numId="9" w16cid:durableId="1111390153">
    <w:abstractNumId w:val="5"/>
  </w:num>
  <w:num w:numId="10" w16cid:durableId="998969923">
    <w:abstractNumId w:val="14"/>
  </w:num>
  <w:num w:numId="11" w16cid:durableId="1023478025">
    <w:abstractNumId w:val="28"/>
  </w:num>
  <w:num w:numId="12" w16cid:durableId="1615818680">
    <w:abstractNumId w:val="38"/>
  </w:num>
  <w:num w:numId="13" w16cid:durableId="1128468771">
    <w:abstractNumId w:val="10"/>
  </w:num>
  <w:num w:numId="14" w16cid:durableId="367070606">
    <w:abstractNumId w:val="7"/>
  </w:num>
  <w:num w:numId="15" w16cid:durableId="915898288">
    <w:abstractNumId w:val="17"/>
  </w:num>
  <w:num w:numId="16" w16cid:durableId="1417095038">
    <w:abstractNumId w:val="1"/>
  </w:num>
  <w:num w:numId="17" w16cid:durableId="1442724806">
    <w:abstractNumId w:val="2"/>
  </w:num>
  <w:num w:numId="18" w16cid:durableId="1590580247">
    <w:abstractNumId w:val="34"/>
  </w:num>
  <w:num w:numId="19" w16cid:durableId="782461008">
    <w:abstractNumId w:val="15"/>
  </w:num>
  <w:num w:numId="20" w16cid:durableId="573899790">
    <w:abstractNumId w:val="3"/>
  </w:num>
  <w:num w:numId="21" w16cid:durableId="1193693905">
    <w:abstractNumId w:val="29"/>
  </w:num>
  <w:num w:numId="22" w16cid:durableId="1828591521">
    <w:abstractNumId w:val="12"/>
  </w:num>
  <w:num w:numId="23" w16cid:durableId="539898818">
    <w:abstractNumId w:val="13"/>
  </w:num>
  <w:num w:numId="24" w16cid:durableId="1175219107">
    <w:abstractNumId w:val="19"/>
  </w:num>
  <w:num w:numId="25" w16cid:durableId="726564371">
    <w:abstractNumId w:val="22"/>
  </w:num>
  <w:num w:numId="26" w16cid:durableId="1835149318">
    <w:abstractNumId w:val="23"/>
  </w:num>
  <w:num w:numId="27" w16cid:durableId="932208975">
    <w:abstractNumId w:val="26"/>
  </w:num>
  <w:num w:numId="28" w16cid:durableId="1820608904">
    <w:abstractNumId w:val="9"/>
  </w:num>
  <w:num w:numId="29" w16cid:durableId="997151109">
    <w:abstractNumId w:val="32"/>
  </w:num>
  <w:num w:numId="30" w16cid:durableId="301231141">
    <w:abstractNumId w:val="0"/>
  </w:num>
  <w:num w:numId="31" w16cid:durableId="475804686">
    <w:abstractNumId w:val="35"/>
  </w:num>
  <w:num w:numId="32" w16cid:durableId="802423947">
    <w:abstractNumId w:val="27"/>
  </w:num>
  <w:num w:numId="33" w16cid:durableId="1856654925">
    <w:abstractNumId w:val="20"/>
  </w:num>
  <w:num w:numId="34" w16cid:durableId="411127755">
    <w:abstractNumId w:val="31"/>
  </w:num>
  <w:num w:numId="35" w16cid:durableId="1440684157">
    <w:abstractNumId w:val="33"/>
  </w:num>
  <w:num w:numId="36" w16cid:durableId="507015007">
    <w:abstractNumId w:val="18"/>
  </w:num>
  <w:num w:numId="37" w16cid:durableId="1356880885">
    <w:abstractNumId w:val="6"/>
  </w:num>
  <w:num w:numId="38" w16cid:durableId="48695861">
    <w:abstractNumId w:val="16"/>
  </w:num>
  <w:num w:numId="39" w16cid:durableId="901018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BA"/>
    <w:rsid w:val="000123BD"/>
    <w:rsid w:val="000133DF"/>
    <w:rsid w:val="000144F3"/>
    <w:rsid w:val="000743F8"/>
    <w:rsid w:val="00083244"/>
    <w:rsid w:val="00093460"/>
    <w:rsid w:val="00094C5D"/>
    <w:rsid w:val="000B0CFD"/>
    <w:rsid w:val="000B1B02"/>
    <w:rsid w:val="000B2229"/>
    <w:rsid w:val="000D57AF"/>
    <w:rsid w:val="000E5B70"/>
    <w:rsid w:val="000E5D52"/>
    <w:rsid w:val="000F1A55"/>
    <w:rsid w:val="00102068"/>
    <w:rsid w:val="00107FC3"/>
    <w:rsid w:val="0016224D"/>
    <w:rsid w:val="001E7126"/>
    <w:rsid w:val="001F0A5C"/>
    <w:rsid w:val="001F4ADF"/>
    <w:rsid w:val="001F5873"/>
    <w:rsid w:val="0021395B"/>
    <w:rsid w:val="00220270"/>
    <w:rsid w:val="00232583"/>
    <w:rsid w:val="00237D7A"/>
    <w:rsid w:val="00242CAA"/>
    <w:rsid w:val="002A19E8"/>
    <w:rsid w:val="00302FBE"/>
    <w:rsid w:val="003124CF"/>
    <w:rsid w:val="003175B9"/>
    <w:rsid w:val="0032098A"/>
    <w:rsid w:val="00342AE0"/>
    <w:rsid w:val="0035584B"/>
    <w:rsid w:val="00370BEB"/>
    <w:rsid w:val="00386DF5"/>
    <w:rsid w:val="003C4018"/>
    <w:rsid w:val="003D7132"/>
    <w:rsid w:val="00401D90"/>
    <w:rsid w:val="00426D08"/>
    <w:rsid w:val="00443E92"/>
    <w:rsid w:val="00476175"/>
    <w:rsid w:val="004A021B"/>
    <w:rsid w:val="004B10C7"/>
    <w:rsid w:val="004C0D27"/>
    <w:rsid w:val="004E57B3"/>
    <w:rsid w:val="004F09BF"/>
    <w:rsid w:val="005112F1"/>
    <w:rsid w:val="00513AFC"/>
    <w:rsid w:val="00515B9A"/>
    <w:rsid w:val="00543BA3"/>
    <w:rsid w:val="00562212"/>
    <w:rsid w:val="00581958"/>
    <w:rsid w:val="005D4C7F"/>
    <w:rsid w:val="005D7638"/>
    <w:rsid w:val="005F3146"/>
    <w:rsid w:val="006124BA"/>
    <w:rsid w:val="006134E4"/>
    <w:rsid w:val="006232BD"/>
    <w:rsid w:val="006708CE"/>
    <w:rsid w:val="00680BEA"/>
    <w:rsid w:val="007114EF"/>
    <w:rsid w:val="00723E6E"/>
    <w:rsid w:val="007501A8"/>
    <w:rsid w:val="00752CDA"/>
    <w:rsid w:val="00787E97"/>
    <w:rsid w:val="007921F6"/>
    <w:rsid w:val="007E65DA"/>
    <w:rsid w:val="00815AB0"/>
    <w:rsid w:val="00826226"/>
    <w:rsid w:val="00851B3A"/>
    <w:rsid w:val="008576FE"/>
    <w:rsid w:val="008639A7"/>
    <w:rsid w:val="008A5A9A"/>
    <w:rsid w:val="008C5652"/>
    <w:rsid w:val="008D0008"/>
    <w:rsid w:val="008D46AA"/>
    <w:rsid w:val="009038D5"/>
    <w:rsid w:val="00910D36"/>
    <w:rsid w:val="009341AC"/>
    <w:rsid w:val="00940C3E"/>
    <w:rsid w:val="00941718"/>
    <w:rsid w:val="00960107"/>
    <w:rsid w:val="009A42F2"/>
    <w:rsid w:val="009B324E"/>
    <w:rsid w:val="009F6FF7"/>
    <w:rsid w:val="00A037EA"/>
    <w:rsid w:val="00A03A9E"/>
    <w:rsid w:val="00A1513B"/>
    <w:rsid w:val="00A3149F"/>
    <w:rsid w:val="00A37F0C"/>
    <w:rsid w:val="00A74C20"/>
    <w:rsid w:val="00A75213"/>
    <w:rsid w:val="00AA0ECB"/>
    <w:rsid w:val="00AA3D51"/>
    <w:rsid w:val="00AB0D99"/>
    <w:rsid w:val="00AE6488"/>
    <w:rsid w:val="00B029AA"/>
    <w:rsid w:val="00B1584F"/>
    <w:rsid w:val="00B46653"/>
    <w:rsid w:val="00B77C95"/>
    <w:rsid w:val="00BD6905"/>
    <w:rsid w:val="00BF351D"/>
    <w:rsid w:val="00BF5F04"/>
    <w:rsid w:val="00C32505"/>
    <w:rsid w:val="00C47633"/>
    <w:rsid w:val="00CA555C"/>
    <w:rsid w:val="00CB4A56"/>
    <w:rsid w:val="00CF4E94"/>
    <w:rsid w:val="00CF539E"/>
    <w:rsid w:val="00D403C4"/>
    <w:rsid w:val="00D40685"/>
    <w:rsid w:val="00D40FD4"/>
    <w:rsid w:val="00D747FF"/>
    <w:rsid w:val="00DA066D"/>
    <w:rsid w:val="00DB0072"/>
    <w:rsid w:val="00DD5F5B"/>
    <w:rsid w:val="00DE262E"/>
    <w:rsid w:val="00E00858"/>
    <w:rsid w:val="00E1378C"/>
    <w:rsid w:val="00E25099"/>
    <w:rsid w:val="00E65C88"/>
    <w:rsid w:val="00E95924"/>
    <w:rsid w:val="00F427CF"/>
    <w:rsid w:val="00F46FAF"/>
    <w:rsid w:val="00F81A14"/>
    <w:rsid w:val="00FA37F3"/>
    <w:rsid w:val="00FA4068"/>
    <w:rsid w:val="00FA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F9B938"/>
  <w15:chartTrackingRefBased/>
  <w15:docId w15:val="{28833A4D-C21A-4AED-8881-97C01E1F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55"/>
    <w:rPr>
      <w:sz w:val="24"/>
      <w:szCs w:val="24"/>
    </w:rPr>
  </w:style>
  <w:style w:type="paragraph" w:styleId="Heading1">
    <w:name w:val="heading 1"/>
    <w:basedOn w:val="Normal"/>
    <w:next w:val="Normal"/>
    <w:link w:val="Heading1Char"/>
    <w:qFormat/>
    <w:rsid w:val="000F1A55"/>
    <w:pPr>
      <w:jc w:val="center"/>
      <w:outlineLvl w:val="0"/>
    </w:pPr>
    <w:rPr>
      <w:b/>
      <w:sz w:val="44"/>
      <w:szCs w:val="44"/>
    </w:rPr>
  </w:style>
  <w:style w:type="paragraph" w:styleId="Heading2">
    <w:name w:val="heading 2"/>
    <w:basedOn w:val="Normal"/>
    <w:next w:val="Normal"/>
    <w:link w:val="Heading2Char"/>
    <w:unhideWhenUsed/>
    <w:qFormat/>
    <w:rsid w:val="000F1A55"/>
    <w:pPr>
      <w:numPr>
        <w:numId w:val="36"/>
      </w:numPr>
      <w:ind w:left="360"/>
      <w:jc w:val="both"/>
      <w:outlineLvl w:val="1"/>
    </w:pPr>
    <w:rPr>
      <w:b/>
    </w:rPr>
  </w:style>
  <w:style w:type="paragraph" w:styleId="Heading3">
    <w:name w:val="heading 3"/>
    <w:basedOn w:val="Normal"/>
    <w:next w:val="Normal"/>
    <w:link w:val="Heading3Char"/>
    <w:unhideWhenUsed/>
    <w:qFormat/>
    <w:rsid w:val="000F1A55"/>
    <w:pPr>
      <w:numPr>
        <w:numId w:val="37"/>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Sub-section">
    <w:name w:val="Rules: Sub-section"/>
    <w:basedOn w:val="Normal"/>
    <w:rsid w:val="00232583"/>
    <w:pPr>
      <w:ind w:left="720" w:hanging="360"/>
      <w:jc w:val="both"/>
    </w:pPr>
    <w:rPr>
      <w:sz w:val="22"/>
      <w:szCs w:val="20"/>
    </w:rPr>
  </w:style>
  <w:style w:type="character" w:styleId="Hyperlink">
    <w:name w:val="Hyperlink"/>
    <w:rsid w:val="00232583"/>
    <w:rPr>
      <w:color w:val="0000FF"/>
      <w:u w:val="single"/>
    </w:rPr>
  </w:style>
  <w:style w:type="paragraph" w:styleId="Header">
    <w:name w:val="header"/>
    <w:basedOn w:val="Normal"/>
    <w:rsid w:val="00237D7A"/>
    <w:pPr>
      <w:tabs>
        <w:tab w:val="center" w:pos="4320"/>
        <w:tab w:val="right" w:pos="8640"/>
      </w:tabs>
    </w:pPr>
  </w:style>
  <w:style w:type="paragraph" w:styleId="Footer">
    <w:name w:val="footer"/>
    <w:basedOn w:val="Normal"/>
    <w:rsid w:val="00237D7A"/>
    <w:pPr>
      <w:tabs>
        <w:tab w:val="center" w:pos="4320"/>
        <w:tab w:val="right" w:pos="8640"/>
      </w:tabs>
    </w:pPr>
  </w:style>
  <w:style w:type="paragraph" w:styleId="BalloonText">
    <w:name w:val="Balloon Text"/>
    <w:basedOn w:val="Normal"/>
    <w:semiHidden/>
    <w:rsid w:val="009341AC"/>
    <w:rPr>
      <w:rFonts w:ascii="Tahoma" w:hAnsi="Tahoma" w:cs="Tahoma"/>
      <w:sz w:val="16"/>
      <w:szCs w:val="16"/>
    </w:rPr>
  </w:style>
  <w:style w:type="paragraph" w:customStyle="1" w:styleId="RulesSub-Paragraph">
    <w:name w:val="Rules: Sub-Paragraph"/>
    <w:basedOn w:val="Normal"/>
    <w:link w:val="RulesSub-ParagraphChar"/>
    <w:rsid w:val="00401D90"/>
    <w:pPr>
      <w:tabs>
        <w:tab w:val="left" w:pos="360"/>
        <w:tab w:val="left" w:pos="720"/>
        <w:tab w:val="left" w:pos="1080"/>
        <w:tab w:val="left" w:pos="1440"/>
        <w:tab w:val="left" w:pos="1800"/>
        <w:tab w:val="left" w:pos="2160"/>
      </w:tabs>
      <w:spacing w:line="240" w:lineRule="atLeast"/>
      <w:ind w:left="1440" w:hanging="360"/>
      <w:jc w:val="both"/>
    </w:pPr>
    <w:rPr>
      <w:sz w:val="22"/>
      <w:szCs w:val="22"/>
    </w:rPr>
  </w:style>
  <w:style w:type="paragraph" w:customStyle="1" w:styleId="RulesParagraph">
    <w:name w:val="Rules: Paragraph"/>
    <w:basedOn w:val="Normal"/>
    <w:rsid w:val="00401D90"/>
    <w:pPr>
      <w:tabs>
        <w:tab w:val="left" w:pos="360"/>
        <w:tab w:val="left" w:pos="720"/>
        <w:tab w:val="left" w:pos="1080"/>
        <w:tab w:val="left" w:pos="1440"/>
        <w:tab w:val="left" w:pos="1800"/>
        <w:tab w:val="left" w:pos="2160"/>
      </w:tabs>
      <w:spacing w:line="240" w:lineRule="atLeast"/>
      <w:ind w:left="1080" w:hanging="360"/>
      <w:jc w:val="both"/>
    </w:pPr>
    <w:rPr>
      <w:sz w:val="22"/>
      <w:szCs w:val="22"/>
    </w:rPr>
  </w:style>
  <w:style w:type="character" w:customStyle="1" w:styleId="RulesSub-ParagraphChar">
    <w:name w:val="Rules: Sub-Paragraph Char"/>
    <w:link w:val="RulesSub-Paragraph"/>
    <w:rsid w:val="00401D90"/>
    <w:rPr>
      <w:sz w:val="22"/>
      <w:szCs w:val="22"/>
    </w:rPr>
  </w:style>
  <w:style w:type="table" w:styleId="TableGrid">
    <w:name w:val="Table Grid"/>
    <w:basedOn w:val="TableNormal"/>
    <w:rsid w:val="00DB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B10C7"/>
    <w:rPr>
      <w:sz w:val="16"/>
      <w:szCs w:val="16"/>
    </w:rPr>
  </w:style>
  <w:style w:type="paragraph" w:styleId="CommentText">
    <w:name w:val="annotation text"/>
    <w:basedOn w:val="Normal"/>
    <w:link w:val="CommentTextChar"/>
    <w:rsid w:val="004B10C7"/>
    <w:rPr>
      <w:sz w:val="20"/>
      <w:szCs w:val="20"/>
    </w:rPr>
  </w:style>
  <w:style w:type="character" w:customStyle="1" w:styleId="CommentTextChar">
    <w:name w:val="Comment Text Char"/>
    <w:basedOn w:val="DefaultParagraphFont"/>
    <w:link w:val="CommentText"/>
    <w:rsid w:val="004B10C7"/>
  </w:style>
  <w:style w:type="paragraph" w:styleId="CommentSubject">
    <w:name w:val="annotation subject"/>
    <w:basedOn w:val="CommentText"/>
    <w:next w:val="CommentText"/>
    <w:link w:val="CommentSubjectChar"/>
    <w:rsid w:val="004B10C7"/>
    <w:rPr>
      <w:b/>
      <w:bCs/>
    </w:rPr>
  </w:style>
  <w:style w:type="character" w:customStyle="1" w:styleId="CommentSubjectChar">
    <w:name w:val="Comment Subject Char"/>
    <w:link w:val="CommentSubject"/>
    <w:rsid w:val="004B10C7"/>
    <w:rPr>
      <w:b/>
      <w:bCs/>
    </w:rPr>
  </w:style>
  <w:style w:type="character" w:styleId="UnresolvedMention">
    <w:name w:val="Unresolved Mention"/>
    <w:uiPriority w:val="99"/>
    <w:semiHidden/>
    <w:unhideWhenUsed/>
    <w:rsid w:val="004B10C7"/>
    <w:rPr>
      <w:color w:val="605E5C"/>
      <w:shd w:val="clear" w:color="auto" w:fill="E1DFDD"/>
    </w:rPr>
  </w:style>
  <w:style w:type="character" w:customStyle="1" w:styleId="Heading1Char">
    <w:name w:val="Heading 1 Char"/>
    <w:basedOn w:val="DefaultParagraphFont"/>
    <w:link w:val="Heading1"/>
    <w:rsid w:val="000F1A55"/>
    <w:rPr>
      <w:b/>
      <w:sz w:val="44"/>
      <w:szCs w:val="44"/>
    </w:rPr>
  </w:style>
  <w:style w:type="character" w:customStyle="1" w:styleId="Heading2Char">
    <w:name w:val="Heading 2 Char"/>
    <w:basedOn w:val="DefaultParagraphFont"/>
    <w:link w:val="Heading2"/>
    <w:rsid w:val="000F1A55"/>
    <w:rPr>
      <w:b/>
      <w:sz w:val="24"/>
      <w:szCs w:val="24"/>
    </w:rPr>
  </w:style>
  <w:style w:type="character" w:customStyle="1" w:styleId="Heading3Char">
    <w:name w:val="Heading 3 Char"/>
    <w:basedOn w:val="DefaultParagraphFont"/>
    <w:link w:val="Heading3"/>
    <w:rsid w:val="000F1A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docs/AL0093%202020%2002.pdf" TargetMode="External"/><Relationship Id="rId3" Type="http://schemas.openxmlformats.org/officeDocument/2006/relationships/settings" Target="settings.xml"/><Relationship Id="rId7" Type="http://schemas.openxmlformats.org/officeDocument/2006/relationships/hyperlink" Target="https://www.maine.gov/dep/air/publications/docs/AL0093%202020%200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PAirLicensingHelp@main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7371</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Guidance for complying with Chapter 149, General Permit for Non-Metallic Mineral Processing Plants</vt:lpstr>
    </vt:vector>
  </TitlesOfParts>
  <Company>Dept. of Health and Human Services</Company>
  <LinksUpToDate>false</LinksUpToDate>
  <CharactersWithSpaces>8647</CharactersWithSpaces>
  <SharedDoc>false</SharedDoc>
  <HLinks>
    <vt:vector size="18" baseType="variant">
      <vt:variant>
        <vt:i4>3211268</vt:i4>
      </vt:variant>
      <vt:variant>
        <vt:i4>6</vt:i4>
      </vt:variant>
      <vt:variant>
        <vt:i4>0</vt:i4>
      </vt:variant>
      <vt:variant>
        <vt:i4>5</vt:i4>
      </vt:variant>
      <vt:variant>
        <vt:lpwstr>mailto:DEP%1EAir%1ELicensing%1EHelp@maine.gov</vt:lpwstr>
      </vt:variant>
      <vt:variant>
        <vt:lpwstr/>
      </vt:variant>
      <vt:variant>
        <vt:i4>7602219</vt:i4>
      </vt:variant>
      <vt:variant>
        <vt:i4>3</vt:i4>
      </vt:variant>
      <vt:variant>
        <vt:i4>0</vt:i4>
      </vt:variant>
      <vt:variant>
        <vt:i4>5</vt:i4>
      </vt:variant>
      <vt:variant>
        <vt:lpwstr>https://www.maine.gov/dep/air/publications/docs/AL0093 2020 02.pdf</vt:lpwstr>
      </vt:variant>
      <vt:variant>
        <vt:lpwstr/>
      </vt:variant>
      <vt:variant>
        <vt:i4>7602219</vt:i4>
      </vt:variant>
      <vt:variant>
        <vt:i4>0</vt:i4>
      </vt:variant>
      <vt:variant>
        <vt:i4>0</vt:i4>
      </vt:variant>
      <vt:variant>
        <vt:i4>5</vt:i4>
      </vt:variant>
      <vt:variant>
        <vt:lpwstr>https://www.maine.gov/dep/air/publications/docs/AL0093 2020 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complying with Chapter 149, General Permit for Non-Metallic Mineral Processing Plants</dc:title>
  <dc:subject/>
  <dc:creator>Lynn Ross</dc:creator>
  <cp:keywords/>
  <cp:lastModifiedBy>Muzzey, Lynn</cp:lastModifiedBy>
  <cp:revision>2</cp:revision>
  <cp:lastPrinted>2016-03-01T16:41:00Z</cp:lastPrinted>
  <dcterms:created xsi:type="dcterms:W3CDTF">2026-01-21T13:52:00Z</dcterms:created>
  <dcterms:modified xsi:type="dcterms:W3CDTF">2026-01-21T13:52:00Z</dcterms:modified>
</cp:coreProperties>
</file>